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b w:val="1"/>
          <w:color w:val="4f81bd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---</w:t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הודעה</w:t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לעיתונות</w:t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---</w:t>
      </w:r>
    </w:p>
    <w:p w:rsidR="00000000" w:rsidDel="00000000" w:rsidP="00000000" w:rsidRDefault="00000000" w:rsidRPr="00000000" w14:paraId="00000002">
      <w:pPr>
        <w:bidi w:val="1"/>
        <w:spacing w:line="360" w:lineRule="auto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BRP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תומכת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בלקוחותיה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בתקופת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משבר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ה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-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Covid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19: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היצרן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BRP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מאריך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את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תקופת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האחריות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דגמי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Sea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Doo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ו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-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Can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Am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בשלושה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חודשים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spacing w:line="360" w:lineRule="auto"/>
        <w:ind w:left="567" w:hanging="360"/>
        <w:jc w:val="both"/>
        <w:rPr>
          <w:b w:val="1"/>
          <w:i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בשל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המשבר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העולמי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בגין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וירוס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הקורונה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הודיע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היצרן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BRP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בשיתוף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אבניר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חברה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לרכב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בע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"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הארכת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תקופת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האחריות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בשלושה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חודשים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ללקוחות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דגמי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אופנועי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המותג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Sea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Doo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וללקוחות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דגמי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רכבי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השטח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המותג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Can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Am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line="360" w:lineRule="auto"/>
        <w:ind w:left="567" w:hanging="360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לקוחות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דגמים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אלו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שתקופת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אחריותם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פגה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או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עתידה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לפוג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בין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התאריכים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15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במרץ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עד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30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ביוני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2020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ייהנו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מתוספת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שלושה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חודשים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לאחריות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היצרן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ללא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עלות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מצד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הלקוח</w:t>
      </w:r>
    </w:p>
    <w:p w:rsidR="00000000" w:rsidDel="00000000" w:rsidP="00000000" w:rsidRDefault="00000000" w:rsidRPr="00000000" w14:paraId="00000006">
      <w:pPr>
        <w:bidi w:val="1"/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1"/>
        </w:rPr>
        <w:t xml:space="preserve">תל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אביב</w:t>
      </w:r>
      <w:r w:rsidDel="00000000" w:rsidR="00000000" w:rsidRPr="00000000">
        <w:rPr>
          <w:b w:val="1"/>
          <w:sz w:val="22"/>
          <w:szCs w:val="22"/>
          <w:rtl w:val="1"/>
        </w:rPr>
        <w:t xml:space="preserve">, ‏</w:t>
      </w:r>
      <w:r w:rsidDel="00000000" w:rsidR="00000000" w:rsidRPr="00000000">
        <w:rPr>
          <w:b w:val="1"/>
          <w:sz w:val="22"/>
          <w:szCs w:val="22"/>
          <w:rtl w:val="1"/>
        </w:rPr>
        <w:t xml:space="preserve">יום</w:t>
      </w:r>
      <w:r w:rsidDel="00000000" w:rsidR="00000000" w:rsidRPr="00000000">
        <w:rPr>
          <w:b w:val="1"/>
          <w:sz w:val="22"/>
          <w:szCs w:val="22"/>
          <w:rtl w:val="1"/>
        </w:rPr>
        <w:t xml:space="preserve"> </w:t>
      </w:r>
      <w:r w:rsidDel="00000000" w:rsidR="00000000" w:rsidRPr="00000000">
        <w:rPr>
          <w:b w:val="1"/>
          <w:sz w:val="22"/>
          <w:szCs w:val="22"/>
          <w:rtl w:val="1"/>
        </w:rPr>
        <w:t xml:space="preserve">רביעי</w:t>
      </w:r>
      <w:r w:rsidDel="00000000" w:rsidR="00000000" w:rsidRPr="00000000">
        <w:rPr>
          <w:b w:val="1"/>
          <w:sz w:val="22"/>
          <w:szCs w:val="22"/>
          <w:rtl w:val="1"/>
        </w:rPr>
        <w:t xml:space="preserve"> 06 </w:t>
      </w:r>
      <w:r w:rsidDel="00000000" w:rsidR="00000000" w:rsidRPr="00000000">
        <w:rPr>
          <w:b w:val="1"/>
          <w:sz w:val="22"/>
          <w:szCs w:val="22"/>
          <w:rtl w:val="1"/>
        </w:rPr>
        <w:t xml:space="preserve">מאי</w:t>
      </w:r>
      <w:r w:rsidDel="00000000" w:rsidR="00000000" w:rsidRPr="00000000">
        <w:rPr>
          <w:b w:val="1"/>
          <w:sz w:val="22"/>
          <w:szCs w:val="22"/>
          <w:rtl w:val="1"/>
        </w:rPr>
        <w:t xml:space="preserve">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יצרן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BRP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יוצא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בפעילות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תומכת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עקב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משבר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</w:t>
      </w:r>
      <w:r w:rsidDel="00000000" w:rsidR="00000000" w:rsidRPr="00000000">
        <w:rPr>
          <w:sz w:val="22"/>
          <w:szCs w:val="22"/>
          <w:rtl w:val="1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Covid</w:t>
      </w:r>
      <w:r w:rsidDel="00000000" w:rsidR="00000000" w:rsidRPr="00000000">
        <w:rPr>
          <w:sz w:val="22"/>
          <w:szCs w:val="22"/>
          <w:rtl w:val="1"/>
        </w:rPr>
        <w:t xml:space="preserve">19, </w:t>
      </w:r>
      <w:r w:rsidDel="00000000" w:rsidR="00000000" w:rsidRPr="00000000">
        <w:rPr>
          <w:sz w:val="22"/>
          <w:szCs w:val="22"/>
          <w:rtl w:val="1"/>
        </w:rPr>
        <w:t xml:space="preserve">תחת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הכותרת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We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Ride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Together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במסגרתה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יאפשר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בשיתוף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מפיציו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ברחבי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העולם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הארכת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תקופת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האחריות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בשלושה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חודשים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לקהל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לקוחותיו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שנאלץ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לצמצם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השימוש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בכלים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עקב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ההגבלות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הקיימות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שימוש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בהם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במסגרת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זו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מאריך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היצרן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ללקוחות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Sea</w:t>
      </w:r>
      <w:r w:rsidDel="00000000" w:rsidR="00000000" w:rsidRPr="00000000">
        <w:rPr>
          <w:sz w:val="22"/>
          <w:szCs w:val="22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Doo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</w:t>
      </w:r>
      <w:r w:rsidDel="00000000" w:rsidR="00000000" w:rsidRPr="00000000">
        <w:rPr>
          <w:sz w:val="22"/>
          <w:szCs w:val="22"/>
          <w:rtl w:val="1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Can</w:t>
      </w:r>
      <w:r w:rsidDel="00000000" w:rsidR="00000000" w:rsidRPr="00000000">
        <w:rPr>
          <w:sz w:val="22"/>
          <w:szCs w:val="22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Am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שתקופת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אחריותם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פגה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עמדה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לפוג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החודשים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מרץ</w:t>
      </w:r>
      <w:r w:rsidDel="00000000" w:rsidR="00000000" w:rsidRPr="00000000">
        <w:rPr>
          <w:sz w:val="22"/>
          <w:szCs w:val="22"/>
          <w:rtl w:val="1"/>
        </w:rPr>
        <w:t xml:space="preserve">-</w:t>
      </w:r>
      <w:r w:rsidDel="00000000" w:rsidR="00000000" w:rsidRPr="00000000">
        <w:rPr>
          <w:sz w:val="22"/>
          <w:szCs w:val="22"/>
          <w:rtl w:val="1"/>
        </w:rPr>
        <w:t xml:space="preserve">יוני</w:t>
      </w:r>
      <w:r w:rsidDel="00000000" w:rsidR="00000000" w:rsidRPr="00000000">
        <w:rPr>
          <w:sz w:val="22"/>
          <w:szCs w:val="22"/>
          <w:rtl w:val="1"/>
        </w:rPr>
        <w:t xml:space="preserve"> 2020 </w:t>
      </w:r>
      <w:r w:rsidDel="00000000" w:rsidR="00000000" w:rsidRPr="00000000">
        <w:rPr>
          <w:sz w:val="22"/>
          <w:szCs w:val="22"/>
          <w:rtl w:val="1"/>
        </w:rPr>
        <w:t xml:space="preserve">בשלושה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חודשים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נוספים</w:t>
      </w:r>
      <w:r w:rsidDel="00000000" w:rsidR="00000000" w:rsidRPr="00000000">
        <w:rPr>
          <w:sz w:val="22"/>
          <w:szCs w:val="22"/>
          <w:rtl w:val="1"/>
        </w:rPr>
        <w:t xml:space="preserve">. </w:t>
      </w:r>
      <w:r w:rsidDel="00000000" w:rsidR="00000000" w:rsidRPr="00000000">
        <w:rPr>
          <w:sz w:val="22"/>
          <w:szCs w:val="22"/>
          <w:rtl w:val="1"/>
        </w:rPr>
        <w:t xml:space="preserve">בהמשך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להודעת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היצרן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קבוצת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עופר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אבניר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תאריך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תקופת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האחריות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ללקוחות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אלה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בישראל</w:t>
      </w:r>
      <w:r w:rsidDel="00000000" w:rsidR="00000000" w:rsidRPr="00000000">
        <w:rPr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לקוחות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המעוניינים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בטיפול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מוזמנים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להגיע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לרשת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מוסכי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מערך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ההפצה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עופר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אבניר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הפועל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אלו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בכפוף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להנחיות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משרד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הבריאות</w:t>
      </w:r>
      <w:r w:rsidDel="00000000" w:rsidR="00000000" w:rsidRPr="00000000">
        <w:rPr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80" w:top="1440" w:left="1134" w:right="849" w:header="227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31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4001770</wp:posOffset>
          </wp:positionH>
          <wp:positionV relativeFrom="paragraph">
            <wp:posOffset>-46354</wp:posOffset>
          </wp:positionV>
          <wp:extent cx="2171700" cy="762000"/>
          <wp:effectExtent b="0" l="0" r="0" t="0"/>
          <wp:wrapSquare wrapText="bothSides" distB="0" distT="0" distL="0" distR="0"/>
          <wp:docPr descr="OFERAVNIR_big" id="1" name="image1.jpg"/>
          <a:graphic>
            <a:graphicData uri="http://schemas.openxmlformats.org/drawingml/2006/picture">
              <pic:pic>
                <pic:nvPicPr>
                  <pic:cNvPr descr="OFERAVNIR_bi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&lt;"/>
      <w:lvlJc w:val="left"/>
      <w:pPr>
        <w:ind w:left="720" w:hanging="360"/>
      </w:pPr>
      <w:rPr>
        <w:rFonts w:ascii="Noto Sans Symbols" w:cs="Noto Sans Symbols" w:eastAsia="Noto Sans Symbols" w:hAnsi="Noto Sans Symbols"/>
        <w:color w:val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