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Tahoma" w:cs="Tahoma" w:eastAsia="Tahoma" w:hAnsi="Tahoma"/>
          <w:b w:val="1"/>
          <w:sz w:val="28"/>
          <w:szCs w:val="28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מתחילים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שנה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עם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אופנוע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או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קטנוע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במחיר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מדהים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u w:val="single"/>
          <w:rtl w:val="1"/>
        </w:rPr>
        <w:t xml:space="preserve">! 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Tahoma" w:cs="Tahoma" w:eastAsia="Tahoma" w:hAnsi="Tahoma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Tahoma" w:cs="Tahoma" w:eastAsia="Tahoma" w:hAnsi="Tahoma"/>
          <w:color w:val="333333"/>
          <w:sz w:val="72"/>
          <w:szCs w:val="72"/>
        </w:rPr>
      </w:pP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הונדה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0"/>
        </w:rPr>
        <w:t xml:space="preserve">OUTLET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 2019: 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שבוע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של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הנחות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מיוחדות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על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כל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האופנועים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sz w:val="72"/>
          <w:szCs w:val="72"/>
          <w:u w:val="single"/>
          <w:rtl w:val="1"/>
        </w:rPr>
        <w:t xml:space="preserve">והקטנועים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Tahoma" w:cs="Tahoma" w:eastAsia="Tahoma" w:hAnsi="Tahoma"/>
          <w:color w:val="333333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Tahoma" w:cs="Tahoma" w:eastAsia="Tahoma" w:hAnsi="Tahoma"/>
          <w:b w:val="1"/>
          <w:color w:val="ff0000"/>
          <w:sz w:val="44"/>
          <w:szCs w:val="44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שבוע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הונדה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0"/>
        </w:rPr>
        <w:t xml:space="preserve">OULTET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יתקיים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בין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התאריכים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 22-27/9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בכל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 </w:t>
      </w:r>
      <w:r w:rsidDel="00000000" w:rsidR="00000000" w:rsidRPr="00000000">
        <w:rPr>
          <w:rFonts w:ascii="Tahoma" w:cs="Tahoma" w:eastAsia="Tahoma" w:hAnsi="Tahoma"/>
          <w:b w:val="1"/>
          <w:color w:val="ff0000"/>
          <w:sz w:val="44"/>
          <w:szCs w:val="44"/>
          <w:u w:val="single"/>
          <w:rtl w:val="1"/>
        </w:rPr>
        <w:t xml:space="preserve">הסניפים</w:t>
      </w:r>
    </w:p>
    <w:p w:rsidR="00000000" w:rsidDel="00000000" w:rsidP="00000000" w:rsidRDefault="00000000" w:rsidRPr="00000000" w14:paraId="00000006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הונדה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מציגה</w:t>
      </w:r>
      <w:r w:rsidDel="00000000" w:rsidR="00000000" w:rsidRPr="00000000">
        <w:rPr>
          <w:rFonts w:ascii="Arial" w:cs="Arial" w:eastAsia="Arial" w:hAnsi="Arial"/>
          <w:rtl w:val="1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HONDA OUTLET 2019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רגע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לפני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שהשנה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נגמרת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מתחילה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השבוע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משתלם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שיש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הונדה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יוצאת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במבצעי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הדגמים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הקיימים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ומזמינה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הרוכבים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ליהנות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מהנחה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הכלים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הקטגוריות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אופנועים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וקטנועים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בטרייד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אין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שטח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אביזרים</w:t>
      </w:r>
      <w:r w:rsidDel="00000000" w:rsidR="00000000" w:rsidRPr="00000000">
        <w:rPr>
          <w:rFonts w:ascii="Arial" w:cs="Arial" w:eastAsia="Arial" w:hAnsi="Arial"/>
          <w:rtl w:val="1"/>
        </w:rPr>
        <w:t xml:space="preserve">.  </w:t>
      </w:r>
    </w:p>
    <w:p w:rsidR="00000000" w:rsidDel="00000000" w:rsidP="00000000" w:rsidRDefault="00000000" w:rsidRPr="00000000" w14:paraId="00000008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HONDA OUTLET 2019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יתקיים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במשך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שבוע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סניפי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הונדה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בפריסה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ארצית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התאריכים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22-27/9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ומציע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משמעותיות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מבצעי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מימון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אטרקטיביים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הדגמים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הונדה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הדגמים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שיוצעו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למכירה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ניתן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למצוא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קטנוע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שחולל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מהפיכה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הדו</w:t>
      </w:r>
      <w:r w:rsidDel="00000000" w:rsidR="00000000" w:rsidRPr="00000000">
        <w:rPr>
          <w:rFonts w:ascii="Arial" w:cs="Arial" w:eastAsia="Arial" w:hAnsi="Arial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rtl w:val="1"/>
        </w:rPr>
        <w:t xml:space="preserve">גלגלי</w:t>
      </w:r>
      <w:r w:rsidDel="00000000" w:rsidR="00000000" w:rsidRPr="00000000">
        <w:rPr>
          <w:rFonts w:ascii="Arial" w:cs="Arial" w:eastAsia="Arial" w:hAnsi="Arial"/>
          <w:rtl w:val="1"/>
        </w:rPr>
        <w:t xml:space="preserve">, 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הונדה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X-ADV750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בגרסה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המותאמת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לבעלי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1"/>
        </w:rPr>
        <w:t xml:space="preserve">1),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שיימכר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בהנחה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5,000 </w:t>
      </w:r>
      <w:r w:rsidDel="00000000" w:rsidR="00000000" w:rsidRPr="00000000">
        <w:rPr>
          <w:rFonts w:ascii="Arial" w:cs="Arial" w:eastAsia="Arial" w:hAnsi="Arial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ומחירו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74,400 </w:t>
      </w:r>
      <w:r w:rsidDel="00000000" w:rsidR="00000000" w:rsidRPr="00000000">
        <w:rPr>
          <w:rFonts w:ascii="Arial" w:cs="Arial" w:eastAsia="Arial" w:hAnsi="Arial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לשבוע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האדוונצ</w:t>
      </w:r>
      <w:r w:rsidDel="00000000" w:rsidR="00000000" w:rsidRPr="00000000">
        <w:rPr>
          <w:rFonts w:ascii="Arial" w:cs="Arial" w:eastAsia="Arial" w:hAnsi="Arial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העוצמתי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הונדה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אפריקה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טווין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CRF1000L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יימכר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1"/>
        </w:rPr>
        <w:t xml:space="preserve">-7000 </w:t>
      </w:r>
      <w:r w:rsidDel="00000000" w:rsidR="00000000" w:rsidRPr="00000000">
        <w:rPr>
          <w:rFonts w:ascii="Arial" w:cs="Arial" w:eastAsia="Arial" w:hAnsi="Arial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הנחה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ומחירו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היוצא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95,900 </w:t>
      </w:r>
      <w:r w:rsidDel="00000000" w:rsidR="00000000" w:rsidRPr="00000000">
        <w:rPr>
          <w:rFonts w:ascii="Arial" w:cs="Arial" w:eastAsia="Arial" w:hAnsi="Arial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האדוונצ</w:t>
      </w:r>
      <w:r w:rsidDel="00000000" w:rsidR="00000000" w:rsidRPr="00000000">
        <w:rPr>
          <w:rFonts w:ascii="Arial" w:cs="Arial" w:eastAsia="Arial" w:hAnsi="Arial"/>
          <w:rtl w:val="1"/>
        </w:rPr>
        <w:t xml:space="preserve">'</w:t>
      </w:r>
      <w:r w:rsidDel="00000000" w:rsidR="00000000" w:rsidRPr="00000000">
        <w:rPr>
          <w:rFonts w:ascii="Arial" w:cs="Arial" w:eastAsia="Arial" w:hAnsi="Arial"/>
          <w:rtl w:val="1"/>
        </w:rPr>
        <w:t xml:space="preserve">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NC750X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יימכר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בהנחה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משמעותית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5,000 ₪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ומחירו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59,900 ₪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1"/>
        </w:rPr>
        <w:t xml:space="preserve">זמין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בגרסה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המותאמת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לבעלי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רישיון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rtl w:val="1"/>
        </w:rPr>
        <w:t xml:space="preserve">1)</w:t>
      </w:r>
    </w:p>
    <w:p w:rsidR="00000000" w:rsidDel="00000000" w:rsidP="00000000" w:rsidRDefault="00000000" w:rsidRPr="00000000" w14:paraId="00000010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קטנוע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המנהלים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האיכותי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FORZA 250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המשלב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הטוב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ביותר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העולמות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rtl w:val="1"/>
        </w:rPr>
        <w:t xml:space="preserve">נוחות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ואבזור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ויכולת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התנהגות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ספורטיבית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יימכר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בהנחה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3,000 ₪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ומחירו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rtl w:val="1"/>
        </w:rPr>
        <w:t xml:space="preserve"> 31,900 </w:t>
      </w:r>
      <w:r w:rsidDel="00000000" w:rsidR="00000000" w:rsidRPr="00000000">
        <w:rPr>
          <w:rFonts w:ascii="Arial" w:cs="Arial" w:eastAsia="Arial" w:hAnsi="Arial"/>
          <w:rtl w:val="1"/>
        </w:rPr>
        <w:t xml:space="preserve">ש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ח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הונדה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קוראת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הרוכבים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וותיקים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להיכנס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מהסניפים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הרשמיים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בפריסה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ארצית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ולצאת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14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tbl>
      <w:tblPr>
        <w:tblStyle w:val="Table1"/>
        <w:bidiVisual w:val="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2"/>
        <w:gridCol w:w="3079"/>
        <w:gridCol w:w="2841"/>
        <w:tblGridChange w:id="0">
          <w:tblGrid>
            <w:gridCol w:w="2602"/>
            <w:gridCol w:w="3079"/>
            <w:gridCol w:w="2841"/>
          </w:tblGrid>
        </w:tblGridChange>
      </w:tblGrid>
      <w:tr>
        <w:trPr>
          <w:trHeight w:val="540" w:hRule="atLeast"/>
        </w:trPr>
        <w:tc>
          <w:tcPr>
            <w:shd w:fill="7f7f7f" w:val="clear"/>
          </w:tcPr>
          <w:p w:rsidR="00000000" w:rsidDel="00000000" w:rsidP="00000000" w:rsidRDefault="00000000" w:rsidRPr="00000000" w14:paraId="00000015">
            <w:pPr>
              <w:bidi w:val="1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1"/>
              </w:rPr>
              <w:t xml:space="preserve">הדגם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1"/>
              </w:rPr>
              <w:t xml:space="preserve">מחיר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1"/>
              </w:rPr>
              <w:t xml:space="preserve">רגיל</w:t>
            </w:r>
          </w:p>
          <w:p w:rsidR="00000000" w:rsidDel="00000000" w:rsidP="00000000" w:rsidRDefault="00000000" w:rsidRPr="00000000" w14:paraId="00000017">
            <w:pPr>
              <w:bidi w:val="1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כולל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מע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"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מ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018">
            <w:pPr>
              <w:bidi w:val="1"/>
              <w:jc w:val="center"/>
              <w:rPr>
                <w:rFonts w:ascii="Tahoma" w:cs="Tahoma" w:eastAsia="Tahoma" w:hAnsi="Tahom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*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לא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כולל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הוצאות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ואגרות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רישוי</w:t>
            </w:r>
          </w:p>
        </w:tc>
        <w:tc>
          <w:tcPr>
            <w:shd w:fill="7f7f7f" w:val="clea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rFonts w:ascii="Tahoma" w:cs="Tahoma" w:eastAsia="Tahoma" w:hAnsi="Tahoma"/>
                <w:b w:val="1"/>
                <w:color w:val="ff000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1"/>
              </w:rPr>
              <w:t xml:space="preserve">מחיר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0"/>
              </w:rPr>
              <w:t xml:space="preserve">OUTLET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rtl w:val="1"/>
              </w:rPr>
              <w:t xml:space="preserve"> 2019</w:t>
            </w:r>
          </w:p>
          <w:p w:rsidR="00000000" w:rsidDel="00000000" w:rsidP="00000000" w:rsidRDefault="00000000" w:rsidRPr="00000000" w14:paraId="0000001A">
            <w:pPr>
              <w:bidi w:val="1"/>
              <w:jc w:val="center"/>
              <w:rPr>
                <w:rFonts w:ascii="Tahoma" w:cs="Tahoma" w:eastAsia="Tahoma" w:hAnsi="Tahom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(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כולל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מע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"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מ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bidi w:val="1"/>
              <w:jc w:val="center"/>
              <w:rPr>
                <w:rFonts w:ascii="Tahoma" w:cs="Tahoma" w:eastAsia="Tahoma" w:hAnsi="Tahoma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*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לא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כולל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הוצאות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ואגרות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16"/>
                <w:szCs w:val="16"/>
                <w:rtl w:val="1"/>
              </w:rPr>
              <w:t xml:space="preserve">רישוי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C">
            <w:pPr>
              <w:bidi w:val="1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FORZA 250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34,900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₪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jc w:val="center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31,900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₪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1F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CRF1000L</w:t>
            </w:r>
          </w:p>
          <w:p w:rsidR="00000000" w:rsidDel="00000000" w:rsidP="00000000" w:rsidRDefault="00000000" w:rsidRPr="00000000" w14:paraId="00000020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 AFRICA TWIN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102,900 ₪</w:t>
            </w:r>
          </w:p>
        </w:tc>
        <w:tc>
          <w:tcPr/>
          <w:p w:rsidR="00000000" w:rsidDel="00000000" w:rsidP="00000000" w:rsidRDefault="00000000" w:rsidRPr="00000000" w14:paraId="00000022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95,900 ₪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3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NC750X+A1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64,900 ₪</w:t>
            </w:r>
          </w:p>
        </w:tc>
        <w:tc>
          <w:tcPr/>
          <w:p w:rsidR="00000000" w:rsidDel="00000000" w:rsidP="00000000" w:rsidRDefault="00000000" w:rsidRPr="00000000" w14:paraId="00000025">
            <w:pPr>
              <w:bidi w:val="1"/>
              <w:jc w:val="center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59,900 ₪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26">
            <w:pPr>
              <w:bidi w:val="1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X-ADV750 + A1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79,400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₪</w:t>
            </w:r>
          </w:p>
        </w:tc>
        <w:tc>
          <w:tcPr/>
          <w:p w:rsidR="00000000" w:rsidDel="00000000" w:rsidP="00000000" w:rsidRDefault="00000000" w:rsidRPr="00000000" w14:paraId="00000028">
            <w:pPr>
              <w:bidi w:val="1"/>
              <w:jc w:val="center"/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74,400</w:t>
            </w:r>
            <w:r w:rsidDel="00000000" w:rsidR="00000000" w:rsidRPr="00000000">
              <w:rPr>
                <w:rFonts w:ascii="Tahoma" w:cs="Tahoma" w:eastAsia="Tahoma" w:hAnsi="Tahoma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₪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1"/>
        </w:rPr>
        <w:t xml:space="preserve">הונדה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ישראל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קוראת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הרוכבים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חדשים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וותיקים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להיכנס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לאחד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מהסניפים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הרשמיים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בפריסה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ארצית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ולצאת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כלי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במחיר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שיעשה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לכם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השנה</w:t>
      </w:r>
      <w:r w:rsidDel="00000000" w:rsidR="00000000" w:rsidRPr="00000000">
        <w:rPr>
          <w:rFonts w:ascii="Arial" w:cs="Arial" w:eastAsia="Arial" w:hAnsi="Arial"/>
          <w:rtl w:val="1"/>
        </w:rPr>
        <w:t xml:space="preserve">!</w:t>
      </w:r>
    </w:p>
    <w:p w:rsidR="00000000" w:rsidDel="00000000" w:rsidP="00000000" w:rsidRDefault="00000000" w:rsidRPr="00000000" w14:paraId="0000002D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jc w:val="center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jc w:val="center"/>
        <w:rPr>
          <w:rFonts w:ascii="Tahoma" w:cs="Tahoma" w:eastAsia="Tahoma" w:hAnsi="Tahoma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993" w:top="1282" w:left="1800" w:right="1800" w:header="284" w:footer="403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28750" cy="1428750"/>
          <wp:effectExtent b="0" l="0" r="0" t="0"/>
          <wp:docPr descr="\\fileserver\Office\לקוחות\חטיבת צרכנות\מאיר\הונדה אופנועים\e011863920071211175827.jpg" id="1" name="image1.jpg"/>
          <a:graphic>
            <a:graphicData uri="http://schemas.openxmlformats.org/drawingml/2006/picture">
              <pic:pic>
                <pic:nvPicPr>
                  <pic:cNvPr descr="\\fileserver\Office\לקוחות\חטיבת צרכנות\מאיר\הונדה אופנועים\e011863920071211175827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/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