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40D" w:rsidRPr="001B533D" w:rsidRDefault="000A440D" w:rsidP="009B527F">
      <w:pPr>
        <w:bidi/>
        <w:spacing w:line="360" w:lineRule="auto"/>
        <w:jc w:val="center"/>
        <w:rPr>
          <w:b/>
          <w:bCs/>
          <w:color w:val="4F81BD"/>
          <w:sz w:val="22"/>
          <w:szCs w:val="22"/>
          <w:lang w:bidi="he-IL"/>
        </w:rPr>
      </w:pPr>
    </w:p>
    <w:p w:rsidR="0070110E" w:rsidRPr="005D27AE" w:rsidRDefault="0070110E" w:rsidP="000A440D">
      <w:pPr>
        <w:bidi/>
        <w:spacing w:line="360" w:lineRule="auto"/>
        <w:jc w:val="center"/>
        <w:rPr>
          <w:b/>
          <w:bCs/>
          <w:color w:val="4F81BD"/>
          <w:sz w:val="22"/>
          <w:szCs w:val="22"/>
          <w:rtl/>
          <w:lang w:val="en-ZW" w:bidi="he-IL"/>
        </w:rPr>
      </w:pPr>
      <w:r w:rsidRPr="005D27AE">
        <w:rPr>
          <w:rFonts w:hint="cs"/>
          <w:b/>
          <w:bCs/>
          <w:color w:val="4F81BD"/>
          <w:sz w:val="22"/>
          <w:szCs w:val="22"/>
          <w:rtl/>
          <w:lang w:val="en-ZW" w:bidi="he-IL"/>
        </w:rPr>
        <w:t>---</w:t>
      </w:r>
      <w:r w:rsidR="009B527F">
        <w:rPr>
          <w:rFonts w:hint="cs"/>
          <w:b/>
          <w:bCs/>
          <w:color w:val="4F81BD"/>
          <w:sz w:val="22"/>
          <w:szCs w:val="22"/>
          <w:rtl/>
          <w:lang w:val="en-ZW" w:bidi="he-IL"/>
        </w:rPr>
        <w:t>הודעה לעיתונות</w:t>
      </w:r>
      <w:r w:rsidRPr="005D27AE">
        <w:rPr>
          <w:rFonts w:hint="cs"/>
          <w:b/>
          <w:bCs/>
          <w:color w:val="4F81BD"/>
          <w:sz w:val="22"/>
          <w:szCs w:val="22"/>
          <w:rtl/>
          <w:lang w:val="en-ZW" w:bidi="he-IL"/>
        </w:rPr>
        <w:t>---</w:t>
      </w:r>
    </w:p>
    <w:p w:rsidR="0070110E" w:rsidRPr="000A440D" w:rsidRDefault="004A131A" w:rsidP="00AD5193">
      <w:pPr>
        <w:bidi/>
        <w:spacing w:line="360" w:lineRule="auto"/>
        <w:jc w:val="center"/>
        <w:rPr>
          <w:b/>
          <w:bCs/>
          <w:i/>
          <w:iCs/>
          <w:sz w:val="22"/>
          <w:szCs w:val="22"/>
          <w:rtl/>
          <w:lang w:bidi="he-IL"/>
        </w:rPr>
      </w:pPr>
      <w:r w:rsidRPr="000A440D">
        <w:rPr>
          <w:rFonts w:hint="cs"/>
          <w:b/>
          <w:bCs/>
          <w:i/>
          <w:iCs/>
          <w:sz w:val="22"/>
          <w:szCs w:val="22"/>
          <w:rtl/>
          <w:lang w:bidi="he-IL"/>
        </w:rPr>
        <w:t xml:space="preserve">התנופה נמשכת - </w:t>
      </w:r>
      <w:r w:rsidR="003C0708" w:rsidRPr="000A440D">
        <w:rPr>
          <w:rFonts w:hint="cs"/>
          <w:b/>
          <w:bCs/>
          <w:i/>
          <w:iCs/>
          <w:sz w:val="22"/>
          <w:szCs w:val="22"/>
          <w:rtl/>
          <w:lang w:bidi="he-IL"/>
        </w:rPr>
        <w:t xml:space="preserve">קבוצת עופר אבניר מרחיבה את דגמי </w:t>
      </w:r>
      <w:r w:rsidR="003C0708" w:rsidRPr="000A440D">
        <w:rPr>
          <w:rFonts w:hint="cs"/>
          <w:b/>
          <w:bCs/>
          <w:i/>
          <w:iCs/>
          <w:sz w:val="22"/>
          <w:szCs w:val="22"/>
          <w:lang w:bidi="he-IL"/>
        </w:rPr>
        <w:t>S</w:t>
      </w:r>
      <w:r w:rsidR="003C0708" w:rsidRPr="000A440D">
        <w:rPr>
          <w:b/>
          <w:bCs/>
          <w:i/>
          <w:iCs/>
          <w:sz w:val="22"/>
          <w:szCs w:val="22"/>
          <w:lang w:bidi="he-IL"/>
        </w:rPr>
        <w:t>uzuki</w:t>
      </w:r>
      <w:r w:rsidR="00F716DE" w:rsidRPr="000A440D">
        <w:rPr>
          <w:rFonts w:hint="cs"/>
          <w:b/>
          <w:bCs/>
          <w:i/>
          <w:iCs/>
          <w:sz w:val="22"/>
          <w:szCs w:val="22"/>
          <w:rtl/>
          <w:lang w:bidi="he-IL"/>
        </w:rPr>
        <w:t>:</w:t>
      </w:r>
    </w:p>
    <w:p w:rsidR="0070110E" w:rsidRPr="000A440D" w:rsidRDefault="007414B7" w:rsidP="000A440D">
      <w:pPr>
        <w:bidi/>
        <w:spacing w:after="240" w:line="360" w:lineRule="auto"/>
        <w:jc w:val="center"/>
        <w:rPr>
          <w:b/>
          <w:bCs/>
          <w:i/>
          <w:iCs/>
          <w:sz w:val="26"/>
          <w:szCs w:val="26"/>
          <w:rtl/>
          <w:lang w:bidi="he-IL"/>
        </w:rPr>
      </w:pPr>
      <w:r w:rsidRPr="000A440D">
        <w:rPr>
          <w:b/>
          <w:bCs/>
          <w:i/>
          <w:iCs/>
          <w:sz w:val="26"/>
          <w:szCs w:val="26"/>
          <w:lang w:bidi="he-IL"/>
        </w:rPr>
        <w:t xml:space="preserve">Suzuki </w:t>
      </w:r>
      <w:r w:rsidR="004A131A" w:rsidRPr="000A440D">
        <w:rPr>
          <w:b/>
          <w:bCs/>
          <w:i/>
          <w:iCs/>
          <w:sz w:val="26"/>
          <w:szCs w:val="26"/>
          <w:lang w:bidi="he-IL"/>
        </w:rPr>
        <w:t>GSX250</w:t>
      </w:r>
      <w:r w:rsidR="000A440D" w:rsidRPr="000A440D">
        <w:rPr>
          <w:b/>
          <w:bCs/>
          <w:i/>
          <w:iCs/>
          <w:sz w:val="26"/>
          <w:szCs w:val="26"/>
          <w:lang w:bidi="he-IL"/>
        </w:rPr>
        <w:t xml:space="preserve"> R</w:t>
      </w:r>
      <w:r w:rsidR="004A131A" w:rsidRPr="000A440D">
        <w:rPr>
          <w:rFonts w:hint="cs"/>
          <w:b/>
          <w:bCs/>
          <w:i/>
          <w:iCs/>
          <w:sz w:val="26"/>
          <w:szCs w:val="26"/>
          <w:rtl/>
          <w:lang w:bidi="he-IL"/>
        </w:rPr>
        <w:t>: כרטיס הכניסה לעולם רכיבת הספורט והמסלול</w:t>
      </w:r>
    </w:p>
    <w:p w:rsidR="00DA2F4B" w:rsidRDefault="006F4D11" w:rsidP="00AE0038">
      <w:pPr>
        <w:numPr>
          <w:ilvl w:val="0"/>
          <w:numId w:val="1"/>
        </w:numPr>
        <w:bidi/>
        <w:spacing w:line="360" w:lineRule="auto"/>
        <w:jc w:val="both"/>
        <w:rPr>
          <w:b/>
          <w:bCs/>
          <w:i/>
          <w:iCs/>
          <w:color w:val="4F81BD"/>
          <w:sz w:val="22"/>
          <w:szCs w:val="22"/>
          <w:lang w:bidi="he-IL"/>
        </w:rPr>
      </w:pPr>
      <w:r>
        <w:rPr>
          <w:rFonts w:hint="cs"/>
          <w:b/>
          <w:bCs/>
          <w:i/>
          <w:iCs/>
          <w:color w:val="4F81BD"/>
          <w:sz w:val="22"/>
          <w:szCs w:val="22"/>
          <w:rtl/>
          <w:lang w:bidi="he-IL"/>
        </w:rPr>
        <w:t>ה-</w:t>
      </w:r>
      <w:r w:rsidRPr="000A440D">
        <w:rPr>
          <w:b/>
          <w:bCs/>
          <w:i/>
          <w:iCs/>
          <w:color w:val="4F81BD"/>
          <w:sz w:val="22"/>
          <w:szCs w:val="22"/>
          <w:lang w:bidi="he-IL"/>
        </w:rPr>
        <w:t>GSX250R</w:t>
      </w:r>
      <w:r>
        <w:rPr>
          <w:rFonts w:hint="cs"/>
          <w:b/>
          <w:bCs/>
          <w:i/>
          <w:iCs/>
          <w:color w:val="4F81BD"/>
          <w:sz w:val="22"/>
          <w:szCs w:val="22"/>
          <w:rtl/>
          <w:lang w:bidi="he-IL"/>
        </w:rPr>
        <w:t xml:space="preserve"> מציע ש</w:t>
      </w:r>
      <w:r w:rsidR="00E06185">
        <w:rPr>
          <w:rFonts w:hint="cs"/>
          <w:b/>
          <w:bCs/>
          <w:i/>
          <w:iCs/>
          <w:color w:val="4F81BD"/>
          <w:sz w:val="22"/>
          <w:szCs w:val="22"/>
          <w:rtl/>
          <w:lang w:bidi="he-IL"/>
        </w:rPr>
        <w:t>י</w:t>
      </w:r>
      <w:r>
        <w:rPr>
          <w:rFonts w:hint="cs"/>
          <w:b/>
          <w:bCs/>
          <w:i/>
          <w:iCs/>
          <w:color w:val="4F81BD"/>
          <w:sz w:val="22"/>
          <w:szCs w:val="22"/>
          <w:rtl/>
          <w:lang w:bidi="he-IL"/>
        </w:rPr>
        <w:t>ל</w:t>
      </w:r>
      <w:r w:rsidR="00E06185">
        <w:rPr>
          <w:rFonts w:hint="cs"/>
          <w:b/>
          <w:bCs/>
          <w:i/>
          <w:iCs/>
          <w:color w:val="4F81BD"/>
          <w:sz w:val="22"/>
          <w:szCs w:val="22"/>
          <w:rtl/>
          <w:lang w:bidi="he-IL"/>
        </w:rPr>
        <w:t>ו</w:t>
      </w:r>
      <w:r>
        <w:rPr>
          <w:rFonts w:hint="cs"/>
          <w:b/>
          <w:bCs/>
          <w:i/>
          <w:iCs/>
          <w:color w:val="4F81BD"/>
          <w:sz w:val="22"/>
          <w:szCs w:val="22"/>
          <w:rtl/>
          <w:lang w:bidi="he-IL"/>
        </w:rPr>
        <w:t xml:space="preserve">ב בין הנאות הרכיבה הספורטיבית לבין צרכי היומיום. </w:t>
      </w:r>
      <w:r w:rsidR="00E06185">
        <w:rPr>
          <w:rFonts w:hint="cs"/>
          <w:b/>
          <w:bCs/>
          <w:i/>
          <w:iCs/>
          <w:color w:val="4F81BD"/>
          <w:sz w:val="22"/>
          <w:szCs w:val="22"/>
          <w:rtl/>
          <w:lang w:bidi="he-IL"/>
        </w:rPr>
        <w:t>כראוי</w:t>
      </w:r>
      <w:r>
        <w:rPr>
          <w:rFonts w:hint="cs"/>
          <w:b/>
          <w:bCs/>
          <w:i/>
          <w:iCs/>
          <w:color w:val="4F81BD"/>
          <w:sz w:val="22"/>
          <w:szCs w:val="22"/>
          <w:rtl/>
          <w:lang w:bidi="he-IL"/>
        </w:rPr>
        <w:t xml:space="preserve"> </w:t>
      </w:r>
      <w:r w:rsidR="00E06185">
        <w:rPr>
          <w:rFonts w:hint="cs"/>
          <w:b/>
          <w:bCs/>
          <w:i/>
          <w:iCs/>
          <w:color w:val="4F81BD"/>
          <w:sz w:val="22"/>
          <w:szCs w:val="22"/>
          <w:rtl/>
          <w:lang w:bidi="he-IL"/>
        </w:rPr>
        <w:t>לכלי ה</w:t>
      </w:r>
      <w:r>
        <w:rPr>
          <w:rFonts w:hint="cs"/>
          <w:b/>
          <w:bCs/>
          <w:i/>
          <w:iCs/>
          <w:color w:val="4F81BD"/>
          <w:sz w:val="22"/>
          <w:szCs w:val="22"/>
          <w:rtl/>
          <w:lang w:bidi="he-IL"/>
        </w:rPr>
        <w:t xml:space="preserve">משתמש </w:t>
      </w:r>
      <w:r w:rsidRPr="00E06185">
        <w:rPr>
          <w:rFonts w:hint="cs"/>
          <w:b/>
          <w:bCs/>
          <w:i/>
          <w:iCs/>
          <w:color w:val="4F81BD"/>
          <w:sz w:val="22"/>
          <w:szCs w:val="22"/>
          <w:rtl/>
          <w:lang w:bidi="he-IL"/>
        </w:rPr>
        <w:t xml:space="preserve">בשילוש האותיות </w:t>
      </w:r>
      <w:r w:rsidR="007964DB" w:rsidRPr="00E06185">
        <w:rPr>
          <w:b/>
          <w:bCs/>
          <w:i/>
          <w:iCs/>
          <w:color w:val="4F81BD"/>
          <w:sz w:val="22"/>
          <w:szCs w:val="22"/>
          <w:lang w:bidi="he-IL"/>
        </w:rPr>
        <w:t>GSX</w:t>
      </w:r>
      <w:r w:rsidR="007964DB" w:rsidRPr="00E06185">
        <w:rPr>
          <w:rFonts w:hint="cs"/>
          <w:b/>
          <w:bCs/>
          <w:i/>
          <w:iCs/>
          <w:color w:val="4F81BD"/>
          <w:sz w:val="22"/>
          <w:szCs w:val="22"/>
          <w:rtl/>
          <w:lang w:bidi="he-IL"/>
        </w:rPr>
        <w:t xml:space="preserve"> </w:t>
      </w:r>
      <w:r w:rsidR="00E06185">
        <w:rPr>
          <w:rFonts w:hint="cs"/>
          <w:b/>
          <w:bCs/>
          <w:i/>
          <w:iCs/>
          <w:color w:val="4F81BD"/>
          <w:sz w:val="22"/>
          <w:szCs w:val="22"/>
          <w:rtl/>
          <w:lang w:bidi="he-IL"/>
        </w:rPr>
        <w:t xml:space="preserve">עם </w:t>
      </w:r>
      <w:r w:rsidR="007964DB" w:rsidRPr="00E06185">
        <w:rPr>
          <w:rFonts w:hint="cs"/>
          <w:b/>
          <w:bCs/>
          <w:i/>
          <w:iCs/>
          <w:color w:val="4F81BD"/>
          <w:sz w:val="22"/>
          <w:szCs w:val="22"/>
          <w:rtl/>
          <w:lang w:bidi="he-IL"/>
        </w:rPr>
        <w:t xml:space="preserve">חותמת </w:t>
      </w:r>
      <w:r w:rsidR="007964DB" w:rsidRPr="00E06185">
        <w:rPr>
          <w:b/>
          <w:bCs/>
          <w:i/>
          <w:iCs/>
          <w:color w:val="4F81BD"/>
          <w:sz w:val="22"/>
          <w:szCs w:val="22"/>
          <w:lang w:bidi="he-IL"/>
        </w:rPr>
        <w:t>R</w:t>
      </w:r>
      <w:r>
        <w:rPr>
          <w:rFonts w:hint="cs"/>
          <w:b/>
          <w:bCs/>
          <w:i/>
          <w:iCs/>
          <w:color w:val="4F81BD"/>
          <w:sz w:val="22"/>
          <w:szCs w:val="22"/>
          <w:rtl/>
          <w:lang w:bidi="he-IL"/>
        </w:rPr>
        <w:t>, האופנוע מציע מנוע ספורטיבי גמיש בהספק של 25 כ"ס ומומנט של</w:t>
      </w:r>
      <w:r w:rsidR="007964DB" w:rsidRPr="00E06185">
        <w:rPr>
          <w:b/>
          <w:bCs/>
          <w:i/>
          <w:iCs/>
          <w:color w:val="4F81BD"/>
          <w:sz w:val="22"/>
          <w:szCs w:val="22"/>
          <w:lang w:bidi="he-IL"/>
        </w:rPr>
        <w:t xml:space="preserve">2.4 </w:t>
      </w:r>
      <w:r w:rsidR="007964DB" w:rsidRPr="00E06185">
        <w:rPr>
          <w:rFonts w:hint="cs"/>
          <w:b/>
          <w:bCs/>
          <w:i/>
          <w:iCs/>
          <w:color w:val="4F81BD"/>
          <w:sz w:val="22"/>
          <w:szCs w:val="22"/>
          <w:rtl/>
          <w:lang w:bidi="he-IL"/>
        </w:rPr>
        <w:t xml:space="preserve"> קג"מ</w:t>
      </w:r>
      <w:r>
        <w:rPr>
          <w:rFonts w:hint="cs"/>
          <w:b/>
          <w:bCs/>
          <w:i/>
          <w:iCs/>
          <w:color w:val="4F81BD"/>
          <w:sz w:val="22"/>
          <w:szCs w:val="22"/>
          <w:rtl/>
          <w:lang w:bidi="he-IL"/>
        </w:rPr>
        <w:t xml:space="preserve"> </w:t>
      </w:r>
    </w:p>
    <w:p w:rsidR="00DA2F4B" w:rsidRDefault="000A440D" w:rsidP="007964DB">
      <w:pPr>
        <w:numPr>
          <w:ilvl w:val="0"/>
          <w:numId w:val="1"/>
        </w:numPr>
        <w:bidi/>
        <w:spacing w:line="360" w:lineRule="auto"/>
        <w:jc w:val="both"/>
        <w:rPr>
          <w:b/>
          <w:bCs/>
          <w:i/>
          <w:iCs/>
          <w:color w:val="4F81BD"/>
          <w:sz w:val="22"/>
          <w:szCs w:val="22"/>
          <w:lang w:bidi="he-IL"/>
        </w:rPr>
      </w:pPr>
      <w:r w:rsidRPr="000A440D">
        <w:rPr>
          <w:b/>
          <w:bCs/>
          <w:i/>
          <w:iCs/>
          <w:color w:val="4F81BD"/>
          <w:sz w:val="22"/>
          <w:szCs w:val="22"/>
          <w:rtl/>
          <w:lang w:bidi="he-IL"/>
        </w:rPr>
        <w:t xml:space="preserve">הסוזוקי </w:t>
      </w:r>
      <w:r w:rsidRPr="000A440D">
        <w:rPr>
          <w:b/>
          <w:bCs/>
          <w:i/>
          <w:iCs/>
          <w:color w:val="4F81BD"/>
          <w:sz w:val="22"/>
          <w:szCs w:val="22"/>
        </w:rPr>
        <w:t>GSX250R</w:t>
      </w:r>
      <w:r w:rsidRPr="000A440D">
        <w:rPr>
          <w:b/>
          <w:bCs/>
          <w:i/>
          <w:iCs/>
          <w:color w:val="4F81BD"/>
          <w:sz w:val="22"/>
          <w:szCs w:val="22"/>
          <w:rtl/>
          <w:lang w:bidi="he-IL"/>
        </w:rPr>
        <w:t xml:space="preserve"> הינו היחיד בקטגורית הנפח שלו המצויד במנוע בעל 2 צילינדרים, לטובת זמינות כוח וגמישות בסל"ד נמוך ובינוני</w:t>
      </w:r>
      <w:r w:rsidR="00DA2F4B">
        <w:rPr>
          <w:rFonts w:hint="cs"/>
          <w:b/>
          <w:bCs/>
          <w:i/>
          <w:iCs/>
          <w:color w:val="4F81BD"/>
          <w:sz w:val="22"/>
          <w:szCs w:val="22"/>
          <w:rtl/>
          <w:lang w:bidi="he-IL"/>
        </w:rPr>
        <w:t xml:space="preserve">, </w:t>
      </w:r>
      <w:r w:rsidR="007964DB" w:rsidRPr="00E06185">
        <w:rPr>
          <w:rFonts w:hint="cs"/>
          <w:b/>
          <w:bCs/>
          <w:i/>
          <w:iCs/>
          <w:color w:val="4F81BD"/>
          <w:sz w:val="22"/>
          <w:szCs w:val="22"/>
          <w:rtl/>
          <w:lang w:bidi="he-IL"/>
        </w:rPr>
        <w:t>ובכך מבטיח</w:t>
      </w:r>
      <w:r w:rsidR="007964DB">
        <w:rPr>
          <w:rFonts w:hint="cs"/>
          <w:b/>
          <w:bCs/>
          <w:i/>
          <w:iCs/>
          <w:color w:val="4F81BD"/>
          <w:sz w:val="22"/>
          <w:szCs w:val="22"/>
          <w:rtl/>
          <w:lang w:bidi="he-IL"/>
        </w:rPr>
        <w:t xml:space="preserve"> </w:t>
      </w:r>
      <w:r w:rsidR="00DA2F4B" w:rsidRPr="000A440D">
        <w:rPr>
          <w:b/>
          <w:bCs/>
          <w:i/>
          <w:iCs/>
          <w:color w:val="4F81BD"/>
          <w:sz w:val="22"/>
          <w:szCs w:val="22"/>
          <w:rtl/>
          <w:lang w:bidi="he-IL"/>
        </w:rPr>
        <w:t>אמינות רבה ועלות אחזקה שוטפת נמוכה במיוחד</w:t>
      </w:r>
    </w:p>
    <w:p w:rsidR="006F4D11" w:rsidRPr="006F4D11" w:rsidRDefault="006F4D11" w:rsidP="00E06185">
      <w:pPr>
        <w:numPr>
          <w:ilvl w:val="0"/>
          <w:numId w:val="1"/>
        </w:numPr>
        <w:bidi/>
        <w:spacing w:line="360" w:lineRule="auto"/>
        <w:jc w:val="both"/>
        <w:rPr>
          <w:b/>
          <w:bCs/>
          <w:i/>
          <w:iCs/>
          <w:color w:val="4F81BD"/>
          <w:sz w:val="22"/>
          <w:szCs w:val="22"/>
          <w:rtl/>
        </w:rPr>
      </w:pPr>
      <w:r>
        <w:rPr>
          <w:rFonts w:hint="cs"/>
          <w:b/>
          <w:bCs/>
          <w:i/>
          <w:iCs/>
          <w:color w:val="4F81BD"/>
          <w:sz w:val="22"/>
          <w:szCs w:val="22"/>
          <w:rtl/>
          <w:lang w:bidi="he-IL"/>
        </w:rPr>
        <w:t xml:space="preserve">כבן משפחה </w:t>
      </w:r>
      <w:r w:rsidR="00E06185">
        <w:rPr>
          <w:rFonts w:hint="cs"/>
          <w:b/>
          <w:bCs/>
          <w:i/>
          <w:iCs/>
          <w:color w:val="4F81BD"/>
          <w:sz w:val="22"/>
          <w:szCs w:val="22"/>
          <w:rtl/>
          <w:lang w:bidi="he-IL"/>
        </w:rPr>
        <w:t>מסדרת</w:t>
      </w:r>
      <w:r>
        <w:rPr>
          <w:rFonts w:hint="cs"/>
          <w:b/>
          <w:bCs/>
          <w:i/>
          <w:iCs/>
          <w:color w:val="4F81BD"/>
          <w:sz w:val="22"/>
          <w:szCs w:val="22"/>
          <w:rtl/>
          <w:lang w:bidi="he-IL"/>
        </w:rPr>
        <w:t xml:space="preserve"> </w:t>
      </w:r>
      <w:r w:rsidR="007964DB" w:rsidRPr="00E06185">
        <w:rPr>
          <w:rFonts w:hint="cs"/>
          <w:b/>
          <w:bCs/>
          <w:i/>
          <w:iCs/>
          <w:color w:val="4F81BD"/>
          <w:sz w:val="22"/>
          <w:szCs w:val="22"/>
          <w:rtl/>
          <w:lang w:bidi="he-IL"/>
        </w:rPr>
        <w:t>ה-</w:t>
      </w:r>
      <w:r w:rsidR="007964DB" w:rsidRPr="00E06185">
        <w:rPr>
          <w:b/>
          <w:bCs/>
          <w:i/>
          <w:iCs/>
          <w:color w:val="4F81BD"/>
          <w:sz w:val="22"/>
          <w:szCs w:val="22"/>
          <w:lang w:bidi="he-IL"/>
        </w:rPr>
        <w:t>R</w:t>
      </w:r>
      <w:r w:rsidRPr="00E06185">
        <w:rPr>
          <w:rFonts w:hint="cs"/>
          <w:b/>
          <w:bCs/>
          <w:i/>
          <w:iCs/>
          <w:color w:val="4F81BD"/>
          <w:sz w:val="22"/>
          <w:szCs w:val="22"/>
          <w:rtl/>
          <w:lang w:bidi="he-IL"/>
        </w:rPr>
        <w:t>,</w:t>
      </w:r>
      <w:r>
        <w:rPr>
          <w:rFonts w:hint="cs"/>
          <w:b/>
          <w:bCs/>
          <w:i/>
          <w:iCs/>
          <w:color w:val="4F81BD"/>
          <w:sz w:val="22"/>
          <w:szCs w:val="22"/>
          <w:rtl/>
          <w:lang w:bidi="he-IL"/>
        </w:rPr>
        <w:t xml:space="preserve"> </w:t>
      </w:r>
      <w:r w:rsidRPr="000A440D">
        <w:rPr>
          <w:b/>
          <w:bCs/>
          <w:i/>
          <w:iCs/>
          <w:color w:val="4F81BD"/>
          <w:sz w:val="22"/>
          <w:szCs w:val="22"/>
          <w:rtl/>
          <w:lang w:bidi="he-IL"/>
        </w:rPr>
        <w:t xml:space="preserve">הסוזוקי </w:t>
      </w:r>
      <w:r w:rsidRPr="000A440D">
        <w:rPr>
          <w:b/>
          <w:bCs/>
          <w:i/>
          <w:iCs/>
          <w:color w:val="4F81BD"/>
          <w:sz w:val="22"/>
          <w:szCs w:val="22"/>
          <w:lang w:bidi="he-IL"/>
        </w:rPr>
        <w:t>GSX250R</w:t>
      </w:r>
      <w:r w:rsidRPr="000A440D">
        <w:rPr>
          <w:b/>
          <w:bCs/>
          <w:i/>
          <w:iCs/>
          <w:color w:val="4F81BD"/>
          <w:sz w:val="22"/>
          <w:szCs w:val="22"/>
          <w:rtl/>
          <w:lang w:bidi="he-IL"/>
        </w:rPr>
        <w:t xml:space="preserve"> </w:t>
      </w:r>
      <w:r w:rsidRPr="006F4D11">
        <w:rPr>
          <w:b/>
          <w:bCs/>
          <w:i/>
          <w:iCs/>
          <w:color w:val="4F81BD"/>
          <w:sz w:val="22"/>
          <w:szCs w:val="22"/>
          <w:rtl/>
          <w:lang w:bidi="he-IL"/>
        </w:rPr>
        <w:t>מוצע ב-3 צביעות שונות למעטפת הפיירינג: שחור חלק, לבן חלק או צביעת ה</w:t>
      </w:r>
      <w:r w:rsidRPr="006F4D11">
        <w:rPr>
          <w:rFonts w:hint="cs"/>
          <w:b/>
          <w:bCs/>
          <w:i/>
          <w:iCs/>
          <w:color w:val="4F81BD"/>
          <w:sz w:val="22"/>
          <w:szCs w:val="22"/>
          <w:rtl/>
          <w:lang w:bidi="he-IL"/>
        </w:rPr>
        <w:t>-</w:t>
      </w:r>
      <w:proofErr w:type="spellStart"/>
      <w:r w:rsidRPr="006F4D11">
        <w:rPr>
          <w:b/>
          <w:bCs/>
          <w:i/>
          <w:iCs/>
          <w:color w:val="4F81BD"/>
          <w:sz w:val="22"/>
          <w:szCs w:val="22"/>
          <w:lang w:bidi="he-IL"/>
        </w:rPr>
        <w:t>M</w:t>
      </w:r>
      <w:r w:rsidR="00AE0038">
        <w:rPr>
          <w:b/>
          <w:bCs/>
          <w:i/>
          <w:iCs/>
          <w:color w:val="4F81BD"/>
          <w:sz w:val="22"/>
          <w:szCs w:val="22"/>
          <w:lang w:bidi="he-IL"/>
        </w:rPr>
        <w:t>otoGP</w:t>
      </w:r>
      <w:proofErr w:type="spellEnd"/>
      <w:r w:rsidRPr="006F4D11">
        <w:rPr>
          <w:rFonts w:hint="cs"/>
          <w:b/>
          <w:bCs/>
          <w:i/>
          <w:iCs/>
          <w:color w:val="4F81BD"/>
          <w:sz w:val="22"/>
          <w:szCs w:val="22"/>
          <w:rtl/>
          <w:lang w:bidi="he-IL"/>
        </w:rPr>
        <w:t xml:space="preserve"> </w:t>
      </w:r>
      <w:r>
        <w:rPr>
          <w:b/>
          <w:bCs/>
          <w:i/>
          <w:iCs/>
          <w:color w:val="4F81BD"/>
          <w:sz w:val="22"/>
          <w:szCs w:val="22"/>
          <w:rtl/>
          <w:lang w:bidi="he-IL"/>
        </w:rPr>
        <w:t>הרשמית של סוזוקי, על רקע כחו</w:t>
      </w:r>
      <w:r>
        <w:rPr>
          <w:rFonts w:hint="cs"/>
          <w:b/>
          <w:bCs/>
          <w:i/>
          <w:iCs/>
          <w:color w:val="4F81BD"/>
          <w:sz w:val="22"/>
          <w:szCs w:val="22"/>
          <w:rtl/>
          <w:lang w:bidi="he-IL"/>
        </w:rPr>
        <w:t>ל</w:t>
      </w:r>
    </w:p>
    <w:p w:rsidR="00B43611" w:rsidRDefault="00B43611" w:rsidP="00AE0038">
      <w:pPr>
        <w:numPr>
          <w:ilvl w:val="0"/>
          <w:numId w:val="1"/>
        </w:numPr>
        <w:bidi/>
        <w:spacing w:line="360" w:lineRule="auto"/>
        <w:jc w:val="both"/>
        <w:rPr>
          <w:b/>
          <w:bCs/>
          <w:i/>
          <w:iCs/>
          <w:color w:val="4F81BD"/>
          <w:sz w:val="22"/>
          <w:szCs w:val="22"/>
          <w:lang w:bidi="he-IL"/>
        </w:rPr>
      </w:pPr>
      <w:r w:rsidRPr="00B43611">
        <w:rPr>
          <w:b/>
          <w:bCs/>
          <w:i/>
          <w:iCs/>
          <w:color w:val="4F81BD"/>
          <w:sz w:val="22"/>
          <w:szCs w:val="22"/>
          <w:rtl/>
          <w:lang w:bidi="he-IL"/>
        </w:rPr>
        <w:t>מחירו של ה</w:t>
      </w:r>
      <w:r w:rsidR="00AE0038">
        <w:rPr>
          <w:rFonts w:hint="cs"/>
          <w:b/>
          <w:bCs/>
          <w:i/>
          <w:iCs/>
          <w:color w:val="4F81BD"/>
          <w:sz w:val="22"/>
          <w:szCs w:val="22"/>
          <w:rtl/>
          <w:lang w:bidi="he-IL"/>
        </w:rPr>
        <w:t>-</w:t>
      </w:r>
      <w:r w:rsidR="000A440D" w:rsidRPr="000A440D">
        <w:t xml:space="preserve"> </w:t>
      </w:r>
      <w:r w:rsidR="000A440D" w:rsidRPr="000A440D">
        <w:rPr>
          <w:b/>
          <w:bCs/>
          <w:i/>
          <w:iCs/>
          <w:color w:val="4F81BD"/>
          <w:sz w:val="22"/>
          <w:szCs w:val="22"/>
        </w:rPr>
        <w:t>Suzuki GSX250 R</w:t>
      </w:r>
      <w:r>
        <w:rPr>
          <w:b/>
          <w:bCs/>
          <w:i/>
          <w:iCs/>
          <w:color w:val="4F81BD"/>
          <w:sz w:val="22"/>
          <w:szCs w:val="22"/>
          <w:rtl/>
          <w:lang w:bidi="he-IL"/>
        </w:rPr>
        <w:t>החדש</w:t>
      </w:r>
      <w:r>
        <w:rPr>
          <w:rFonts w:hint="cs"/>
          <w:b/>
          <w:bCs/>
          <w:i/>
          <w:iCs/>
          <w:color w:val="4F81BD"/>
          <w:sz w:val="22"/>
          <w:szCs w:val="22"/>
          <w:rtl/>
          <w:lang w:bidi="he-IL"/>
        </w:rPr>
        <w:t xml:space="preserve"> </w:t>
      </w:r>
      <w:r w:rsidR="000A440D">
        <w:rPr>
          <w:rFonts w:hint="cs"/>
          <w:b/>
          <w:bCs/>
          <w:i/>
          <w:iCs/>
          <w:color w:val="4F81BD"/>
          <w:sz w:val="22"/>
          <w:szCs w:val="22"/>
          <w:rtl/>
          <w:lang w:bidi="he-IL"/>
        </w:rPr>
        <w:t>י</w:t>
      </w:r>
      <w:r>
        <w:rPr>
          <w:rFonts w:hint="cs"/>
          <w:b/>
          <w:bCs/>
          <w:i/>
          <w:iCs/>
          <w:color w:val="4F81BD"/>
          <w:sz w:val="22"/>
          <w:szCs w:val="22"/>
          <w:rtl/>
          <w:lang w:bidi="he-IL"/>
        </w:rPr>
        <w:t>עמ</w:t>
      </w:r>
      <w:r w:rsidR="000A440D">
        <w:rPr>
          <w:rFonts w:hint="cs"/>
          <w:b/>
          <w:bCs/>
          <w:i/>
          <w:iCs/>
          <w:color w:val="4F81BD"/>
          <w:sz w:val="22"/>
          <w:szCs w:val="22"/>
          <w:rtl/>
          <w:lang w:bidi="he-IL"/>
        </w:rPr>
        <w:t>ו</w:t>
      </w:r>
      <w:r>
        <w:rPr>
          <w:rFonts w:hint="cs"/>
          <w:b/>
          <w:bCs/>
          <w:i/>
          <w:iCs/>
          <w:color w:val="4F81BD"/>
          <w:sz w:val="22"/>
          <w:szCs w:val="22"/>
          <w:rtl/>
          <w:lang w:bidi="he-IL"/>
        </w:rPr>
        <w:t>ד</w:t>
      </w:r>
      <w:r>
        <w:rPr>
          <w:b/>
          <w:bCs/>
          <w:i/>
          <w:iCs/>
          <w:color w:val="4F81BD"/>
          <w:sz w:val="22"/>
          <w:szCs w:val="22"/>
          <w:rtl/>
          <w:lang w:bidi="he-IL"/>
        </w:rPr>
        <w:t xml:space="preserve"> על </w:t>
      </w:r>
      <w:r w:rsidR="00E06185">
        <w:rPr>
          <w:rFonts w:hint="cs"/>
          <w:b/>
          <w:bCs/>
          <w:i/>
          <w:iCs/>
          <w:color w:val="4F81BD"/>
          <w:sz w:val="22"/>
          <w:szCs w:val="22"/>
          <w:rtl/>
          <w:lang w:bidi="he-IL"/>
        </w:rPr>
        <w:t>26,987</w:t>
      </w:r>
      <w:r w:rsidR="003C0708" w:rsidRPr="00B43611">
        <w:rPr>
          <w:b/>
          <w:bCs/>
          <w:i/>
          <w:iCs/>
          <w:color w:val="4F81BD"/>
          <w:sz w:val="22"/>
          <w:szCs w:val="22"/>
          <w:rtl/>
          <w:lang w:bidi="he-IL"/>
        </w:rPr>
        <w:t xml:space="preserve"> שקלים</w:t>
      </w:r>
      <w:r w:rsidR="003C0708">
        <w:rPr>
          <w:rFonts w:hint="cs"/>
          <w:b/>
          <w:bCs/>
          <w:i/>
          <w:iCs/>
          <w:color w:val="4F81BD"/>
          <w:sz w:val="22"/>
          <w:szCs w:val="22"/>
          <w:rtl/>
          <w:lang w:bidi="he-IL"/>
        </w:rPr>
        <w:t xml:space="preserve"> </w:t>
      </w:r>
      <w:r w:rsidR="003452F1">
        <w:rPr>
          <w:rFonts w:hint="cs"/>
          <w:b/>
          <w:bCs/>
          <w:i/>
          <w:iCs/>
          <w:color w:val="4F81BD"/>
          <w:sz w:val="22"/>
          <w:szCs w:val="22"/>
          <w:rtl/>
          <w:lang w:bidi="he-IL"/>
        </w:rPr>
        <w:t>(לא כולל אגרות רישוי</w:t>
      </w:r>
      <w:r>
        <w:rPr>
          <w:rFonts w:hint="cs"/>
          <w:b/>
          <w:bCs/>
          <w:i/>
          <w:iCs/>
          <w:color w:val="4F81BD"/>
          <w:sz w:val="22"/>
          <w:szCs w:val="22"/>
          <w:rtl/>
          <w:lang w:bidi="he-IL"/>
        </w:rPr>
        <w:t>)</w:t>
      </w:r>
    </w:p>
    <w:p w:rsidR="0070110E" w:rsidRDefault="0070110E" w:rsidP="00B43611">
      <w:pPr>
        <w:bidi/>
        <w:spacing w:before="240" w:line="360" w:lineRule="auto"/>
        <w:jc w:val="both"/>
        <w:rPr>
          <w:b/>
          <w:bCs/>
          <w:sz w:val="22"/>
          <w:szCs w:val="22"/>
          <w:rtl/>
          <w:lang w:bidi="he-IL"/>
        </w:rPr>
      </w:pPr>
      <w:r>
        <w:rPr>
          <w:rFonts w:hint="cs"/>
          <w:b/>
          <w:bCs/>
          <w:sz w:val="22"/>
          <w:szCs w:val="22"/>
          <w:rtl/>
          <w:lang w:bidi="he-IL"/>
        </w:rPr>
        <w:t xml:space="preserve">תל אביב, </w:t>
      </w:r>
      <w:r>
        <w:rPr>
          <w:b/>
          <w:bCs/>
          <w:sz w:val="22"/>
          <w:szCs w:val="22"/>
          <w:rtl/>
          <w:lang w:bidi="he-IL"/>
        </w:rPr>
        <w:fldChar w:fldCharType="begin"/>
      </w:r>
      <w:r>
        <w:rPr>
          <w:b/>
          <w:bCs/>
          <w:sz w:val="22"/>
          <w:szCs w:val="22"/>
          <w:rtl/>
          <w:lang w:bidi="he-IL"/>
        </w:rPr>
        <w:instrText xml:space="preserve"> </w:instrText>
      </w:r>
      <w:r>
        <w:rPr>
          <w:rFonts w:hint="cs"/>
          <w:b/>
          <w:bCs/>
          <w:sz w:val="22"/>
          <w:szCs w:val="22"/>
          <w:lang w:bidi="he-IL"/>
        </w:rPr>
        <w:instrText>DATE</w:instrText>
      </w:r>
      <w:r>
        <w:rPr>
          <w:rFonts w:hint="cs"/>
          <w:b/>
          <w:bCs/>
          <w:sz w:val="22"/>
          <w:szCs w:val="22"/>
          <w:rtl/>
          <w:lang w:bidi="he-IL"/>
        </w:rPr>
        <w:instrText xml:space="preserve"> \@ "</w:instrText>
      </w:r>
      <w:r>
        <w:rPr>
          <w:rFonts w:hint="cs"/>
          <w:b/>
          <w:bCs/>
          <w:sz w:val="22"/>
          <w:szCs w:val="22"/>
          <w:lang w:bidi="he-IL"/>
        </w:rPr>
        <w:instrText>dddd dd MMMM yyyy</w:instrText>
      </w:r>
      <w:r>
        <w:rPr>
          <w:rFonts w:hint="cs"/>
          <w:b/>
          <w:bCs/>
          <w:sz w:val="22"/>
          <w:szCs w:val="22"/>
          <w:rtl/>
          <w:lang w:bidi="he-IL"/>
        </w:rPr>
        <w:instrText>"</w:instrText>
      </w:r>
      <w:r>
        <w:rPr>
          <w:b/>
          <w:bCs/>
          <w:sz w:val="22"/>
          <w:szCs w:val="22"/>
          <w:rtl/>
          <w:lang w:bidi="he-IL"/>
        </w:rPr>
        <w:instrText xml:space="preserve"> </w:instrText>
      </w:r>
      <w:r>
        <w:rPr>
          <w:b/>
          <w:bCs/>
          <w:sz w:val="22"/>
          <w:szCs w:val="22"/>
          <w:rtl/>
          <w:lang w:bidi="he-IL"/>
        </w:rPr>
        <w:fldChar w:fldCharType="separate"/>
      </w:r>
      <w:r w:rsidR="0014575E">
        <w:rPr>
          <w:b/>
          <w:bCs/>
          <w:noProof/>
          <w:sz w:val="22"/>
          <w:szCs w:val="22"/>
          <w:rtl/>
          <w:lang w:bidi="he-IL"/>
        </w:rPr>
        <w:t>‏יום רביעי 01 נובמבר 2017</w:t>
      </w:r>
      <w:r>
        <w:rPr>
          <w:b/>
          <w:bCs/>
          <w:sz w:val="22"/>
          <w:szCs w:val="22"/>
          <w:rtl/>
          <w:lang w:bidi="he-IL"/>
        </w:rPr>
        <w:fldChar w:fldCharType="end"/>
      </w:r>
    </w:p>
    <w:p w:rsidR="005B2E39" w:rsidRDefault="005B2E39" w:rsidP="00576BA1">
      <w:pPr>
        <w:bidi/>
        <w:spacing w:line="360" w:lineRule="auto"/>
        <w:ind w:firstLine="454"/>
        <w:jc w:val="both"/>
        <w:rPr>
          <w:sz w:val="22"/>
          <w:szCs w:val="22"/>
          <w:rtl/>
          <w:lang w:bidi="he-IL"/>
        </w:rPr>
      </w:pPr>
    </w:p>
    <w:p w:rsidR="004124DD" w:rsidRDefault="005B2E39" w:rsidP="00AE0038">
      <w:pPr>
        <w:bidi/>
        <w:spacing w:line="360" w:lineRule="auto"/>
        <w:ind w:firstLine="454"/>
        <w:jc w:val="both"/>
        <w:rPr>
          <w:sz w:val="22"/>
          <w:szCs w:val="22"/>
          <w:rtl/>
          <w:lang w:bidi="he-IL"/>
        </w:rPr>
      </w:pPr>
      <w:r>
        <w:rPr>
          <w:rFonts w:hint="cs"/>
          <w:sz w:val="22"/>
          <w:szCs w:val="22"/>
          <w:rtl/>
          <w:lang w:bidi="he-IL"/>
        </w:rPr>
        <w:t xml:space="preserve">מותג סוזוקי ממשיך לחדש ולהתחזק בישראל. </w:t>
      </w:r>
      <w:r w:rsidR="00117D28">
        <w:rPr>
          <w:rFonts w:hint="cs"/>
          <w:sz w:val="22"/>
          <w:szCs w:val="22"/>
          <w:rtl/>
          <w:lang w:bidi="he-IL"/>
        </w:rPr>
        <w:t xml:space="preserve">קבוצת עופר אבניר, יבואנית מותג האופנועים </w:t>
      </w:r>
      <w:r w:rsidR="00117D28">
        <w:rPr>
          <w:rFonts w:hint="cs"/>
          <w:sz w:val="22"/>
          <w:szCs w:val="22"/>
          <w:lang w:bidi="he-IL"/>
        </w:rPr>
        <w:t>S</w:t>
      </w:r>
      <w:r w:rsidR="00117D28">
        <w:rPr>
          <w:sz w:val="22"/>
          <w:szCs w:val="22"/>
          <w:lang w:bidi="he-IL"/>
        </w:rPr>
        <w:t>uzuki</w:t>
      </w:r>
      <w:r w:rsidR="00117D28">
        <w:rPr>
          <w:rFonts w:hint="cs"/>
          <w:sz w:val="22"/>
          <w:szCs w:val="22"/>
          <w:rtl/>
          <w:lang w:bidi="he-IL"/>
        </w:rPr>
        <w:t xml:space="preserve"> </w:t>
      </w:r>
      <w:r>
        <w:rPr>
          <w:rFonts w:hint="cs"/>
          <w:sz w:val="22"/>
          <w:szCs w:val="22"/>
          <w:rtl/>
          <w:lang w:bidi="he-IL"/>
        </w:rPr>
        <w:t>בישראל, ת</w:t>
      </w:r>
      <w:r w:rsidR="00117D28" w:rsidRPr="00114DD7">
        <w:rPr>
          <w:rFonts w:hint="cs"/>
          <w:sz w:val="22"/>
          <w:szCs w:val="22"/>
          <w:rtl/>
          <w:lang w:bidi="he-IL"/>
        </w:rPr>
        <w:t>חל</w:t>
      </w:r>
      <w:r>
        <w:rPr>
          <w:rFonts w:hint="cs"/>
          <w:sz w:val="22"/>
          <w:szCs w:val="22"/>
          <w:rtl/>
          <w:lang w:bidi="he-IL"/>
        </w:rPr>
        <w:t xml:space="preserve"> בימים הקרובים בשיווק דגם חדש לחלוטין, </w:t>
      </w:r>
      <w:r w:rsidR="006767AC">
        <w:rPr>
          <w:rFonts w:hint="cs"/>
          <w:sz w:val="22"/>
          <w:szCs w:val="22"/>
          <w:rtl/>
          <w:lang w:bidi="he-IL"/>
        </w:rPr>
        <w:t>הרביעי</w:t>
      </w:r>
      <w:r>
        <w:rPr>
          <w:rFonts w:hint="cs"/>
          <w:sz w:val="22"/>
          <w:szCs w:val="22"/>
          <w:rtl/>
          <w:lang w:bidi="he-IL"/>
        </w:rPr>
        <w:t xml:space="preserve"> במספר בשנה האחרונה, עם </w:t>
      </w:r>
      <w:r w:rsidR="00EB1C80">
        <w:rPr>
          <w:rFonts w:hint="cs"/>
          <w:sz w:val="22"/>
          <w:szCs w:val="22"/>
          <w:rtl/>
          <w:lang w:bidi="he-IL"/>
        </w:rPr>
        <w:t>הגעת ה-</w:t>
      </w:r>
      <w:r w:rsidR="00EB1C80" w:rsidRPr="005B2E39">
        <w:rPr>
          <w:sz w:val="22"/>
          <w:szCs w:val="22"/>
          <w:lang w:bidi="he-IL"/>
        </w:rPr>
        <w:t>GSX250R</w:t>
      </w:r>
      <w:r w:rsidR="00EB1C80">
        <w:rPr>
          <w:rFonts w:hint="cs"/>
          <w:sz w:val="22"/>
          <w:szCs w:val="22"/>
          <w:rtl/>
          <w:lang w:bidi="he-IL"/>
        </w:rPr>
        <w:t xml:space="preserve"> לישראל</w:t>
      </w:r>
      <w:r>
        <w:rPr>
          <w:rFonts w:hint="cs"/>
          <w:sz w:val="22"/>
          <w:szCs w:val="22"/>
          <w:rtl/>
          <w:lang w:bidi="he-IL"/>
        </w:rPr>
        <w:t xml:space="preserve">. </w:t>
      </w:r>
      <w:r w:rsidRPr="005B2E39">
        <w:rPr>
          <w:sz w:val="22"/>
          <w:szCs w:val="22"/>
          <w:rtl/>
          <w:lang w:bidi="he-IL"/>
        </w:rPr>
        <w:t>סוזוקי</w:t>
      </w:r>
      <w:r w:rsidRPr="005B2E39">
        <w:rPr>
          <w:sz w:val="22"/>
          <w:szCs w:val="22"/>
          <w:lang w:bidi="he-IL"/>
        </w:rPr>
        <w:t xml:space="preserve">GSX250R </w:t>
      </w:r>
      <w:r w:rsidR="00EB1C80">
        <w:rPr>
          <w:rFonts w:hint="cs"/>
          <w:sz w:val="22"/>
          <w:szCs w:val="22"/>
          <w:rtl/>
          <w:lang w:bidi="he-IL"/>
        </w:rPr>
        <w:t xml:space="preserve"> מציע </w:t>
      </w:r>
      <w:r w:rsidRPr="005B2E39">
        <w:rPr>
          <w:sz w:val="22"/>
          <w:szCs w:val="22"/>
          <w:rtl/>
          <w:lang w:bidi="he-IL"/>
        </w:rPr>
        <w:t xml:space="preserve">אופנוע בעל חיפוי </w:t>
      </w:r>
      <w:r w:rsidR="00EB1C80">
        <w:rPr>
          <w:sz w:val="22"/>
          <w:szCs w:val="22"/>
          <w:rtl/>
          <w:lang w:bidi="he-IL"/>
        </w:rPr>
        <w:t>פיירינג מלא ו</w:t>
      </w:r>
      <w:r w:rsidRPr="005B2E39">
        <w:rPr>
          <w:sz w:val="22"/>
          <w:szCs w:val="22"/>
          <w:rtl/>
          <w:lang w:bidi="he-IL"/>
        </w:rPr>
        <w:t xml:space="preserve">ספורטיבי, </w:t>
      </w:r>
      <w:r w:rsidR="00EB1C80">
        <w:rPr>
          <w:rFonts w:hint="cs"/>
          <w:sz w:val="22"/>
          <w:szCs w:val="22"/>
          <w:rtl/>
          <w:lang w:bidi="he-IL"/>
        </w:rPr>
        <w:t xml:space="preserve">המשלב </w:t>
      </w:r>
      <w:r w:rsidR="00555CD0">
        <w:rPr>
          <w:rFonts w:hint="cs"/>
          <w:sz w:val="22"/>
          <w:szCs w:val="22"/>
          <w:rtl/>
          <w:lang w:bidi="he-IL"/>
        </w:rPr>
        <w:t>בצורה אופטימלית בין הפאן של רכיבה ספורטיבית לבין צרכי היומיום. האופנוע בנפח 250 סמ"ק, מנוע שני צילינדרי</w:t>
      </w:r>
      <w:r w:rsidR="00555CD0">
        <w:rPr>
          <w:rFonts w:hint="eastAsia"/>
          <w:sz w:val="22"/>
          <w:szCs w:val="22"/>
          <w:rtl/>
          <w:lang w:bidi="he-IL"/>
        </w:rPr>
        <w:t>ם</w:t>
      </w:r>
      <w:r w:rsidR="00555CD0">
        <w:rPr>
          <w:rFonts w:hint="cs"/>
          <w:sz w:val="22"/>
          <w:szCs w:val="22"/>
          <w:rtl/>
          <w:lang w:bidi="he-IL"/>
        </w:rPr>
        <w:t xml:space="preserve"> יוצע </w:t>
      </w:r>
      <w:r w:rsidR="004124DD">
        <w:rPr>
          <w:rFonts w:hint="cs"/>
          <w:sz w:val="22"/>
          <w:szCs w:val="22"/>
          <w:rtl/>
          <w:lang w:bidi="he-IL"/>
        </w:rPr>
        <w:t xml:space="preserve">בגרסת אבזור אחת במחיר של </w:t>
      </w:r>
      <w:r w:rsidR="00E06185">
        <w:rPr>
          <w:rFonts w:hint="cs"/>
          <w:sz w:val="22"/>
          <w:szCs w:val="22"/>
          <w:rtl/>
          <w:lang w:bidi="he-IL"/>
        </w:rPr>
        <w:t xml:space="preserve">26,987 ₪ (לא כולל אגרות רישוי).  </w:t>
      </w:r>
    </w:p>
    <w:p w:rsidR="001B5168" w:rsidRDefault="001B5168" w:rsidP="00AE0038">
      <w:pPr>
        <w:bidi/>
        <w:spacing w:line="360" w:lineRule="auto"/>
        <w:ind w:firstLine="454"/>
        <w:jc w:val="both"/>
        <w:rPr>
          <w:sz w:val="22"/>
          <w:szCs w:val="22"/>
          <w:rtl/>
          <w:lang w:bidi="he-IL"/>
        </w:rPr>
      </w:pPr>
      <w:r>
        <w:rPr>
          <w:rFonts w:hint="cs"/>
          <w:sz w:val="22"/>
          <w:szCs w:val="22"/>
          <w:rtl/>
          <w:lang w:bidi="he-IL"/>
        </w:rPr>
        <w:t xml:space="preserve">זאת ועוד, </w:t>
      </w:r>
      <w:r w:rsidRPr="005B2E39">
        <w:rPr>
          <w:sz w:val="22"/>
          <w:szCs w:val="22"/>
          <w:rtl/>
          <w:lang w:bidi="he-IL"/>
        </w:rPr>
        <w:t>רוכשי אופנועי הסוזוקי</w:t>
      </w:r>
      <w:r w:rsidRPr="005B2E39">
        <w:rPr>
          <w:sz w:val="22"/>
          <w:szCs w:val="22"/>
          <w:lang w:bidi="he-IL"/>
        </w:rPr>
        <w:t xml:space="preserve"> GSX250R </w:t>
      </w:r>
      <w:r w:rsidRPr="005B2E39">
        <w:rPr>
          <w:sz w:val="22"/>
          <w:szCs w:val="22"/>
          <w:rtl/>
          <w:lang w:bidi="he-IL"/>
        </w:rPr>
        <w:t xml:space="preserve">עד סוף 2017 ישתתפו, כמו שאר הרוכבים שרכשו </w:t>
      </w:r>
      <w:r>
        <w:rPr>
          <w:rFonts w:hint="cs"/>
          <w:sz w:val="22"/>
          <w:szCs w:val="22"/>
          <w:rtl/>
          <w:lang w:bidi="he-IL"/>
        </w:rPr>
        <w:t>אחד מ</w:t>
      </w:r>
      <w:r w:rsidRPr="005B2E39">
        <w:rPr>
          <w:sz w:val="22"/>
          <w:szCs w:val="22"/>
          <w:rtl/>
          <w:lang w:bidi="he-IL"/>
        </w:rPr>
        <w:t>דגמי אופנועי ה</w:t>
      </w:r>
      <w:r>
        <w:rPr>
          <w:rFonts w:hint="cs"/>
          <w:sz w:val="22"/>
          <w:szCs w:val="22"/>
          <w:rtl/>
          <w:lang w:bidi="he-IL"/>
        </w:rPr>
        <w:t>-</w:t>
      </w:r>
      <w:r>
        <w:rPr>
          <w:sz w:val="22"/>
          <w:szCs w:val="22"/>
          <w:lang w:bidi="he-IL"/>
        </w:rPr>
        <w:t>GSX-S</w:t>
      </w:r>
      <w:r w:rsidR="00AE0038">
        <w:rPr>
          <w:rFonts w:hint="cs"/>
          <w:sz w:val="22"/>
          <w:szCs w:val="22"/>
          <w:rtl/>
          <w:lang w:bidi="he-IL"/>
        </w:rPr>
        <w:t xml:space="preserve"> </w:t>
      </w:r>
      <w:r w:rsidRPr="005B2E39">
        <w:rPr>
          <w:sz w:val="22"/>
          <w:szCs w:val="22"/>
          <w:rtl/>
          <w:lang w:bidi="he-IL"/>
        </w:rPr>
        <w:t>וה</w:t>
      </w:r>
      <w:r>
        <w:rPr>
          <w:rFonts w:hint="cs"/>
          <w:sz w:val="22"/>
          <w:szCs w:val="22"/>
          <w:rtl/>
          <w:lang w:bidi="he-IL"/>
        </w:rPr>
        <w:t>-</w:t>
      </w:r>
      <w:r w:rsidR="00AE0038">
        <w:rPr>
          <w:sz w:val="22"/>
          <w:szCs w:val="22"/>
          <w:lang w:bidi="he-IL"/>
        </w:rPr>
        <w:t>GSX-R</w:t>
      </w:r>
      <w:r>
        <w:rPr>
          <w:rFonts w:hint="cs"/>
          <w:sz w:val="22"/>
          <w:szCs w:val="22"/>
          <w:rtl/>
          <w:lang w:bidi="he-IL"/>
        </w:rPr>
        <w:t xml:space="preserve"> </w:t>
      </w:r>
      <w:r w:rsidRPr="005B2E39">
        <w:rPr>
          <w:sz w:val="22"/>
          <w:szCs w:val="22"/>
          <w:rtl/>
          <w:lang w:bidi="he-IL"/>
        </w:rPr>
        <w:t>מה-1 ביולי, במבצע ה</w:t>
      </w:r>
      <w:r>
        <w:rPr>
          <w:rFonts w:hint="cs"/>
          <w:sz w:val="22"/>
          <w:szCs w:val="22"/>
          <w:rtl/>
          <w:lang w:bidi="he-IL"/>
        </w:rPr>
        <w:t>-</w:t>
      </w:r>
      <w:proofErr w:type="spellStart"/>
      <w:r w:rsidR="00AE0038">
        <w:rPr>
          <w:sz w:val="22"/>
          <w:szCs w:val="22"/>
          <w:lang w:bidi="he-IL"/>
        </w:rPr>
        <w:t>MotoGP</w:t>
      </w:r>
      <w:proofErr w:type="spellEnd"/>
      <w:r>
        <w:rPr>
          <w:rFonts w:hint="cs"/>
          <w:sz w:val="22"/>
          <w:szCs w:val="22"/>
          <w:rtl/>
          <w:lang w:bidi="he-IL"/>
        </w:rPr>
        <w:t xml:space="preserve"> </w:t>
      </w:r>
      <w:r w:rsidRPr="005B2E39">
        <w:rPr>
          <w:sz w:val="22"/>
          <w:szCs w:val="22"/>
          <w:rtl/>
          <w:lang w:bidi="he-IL"/>
        </w:rPr>
        <w:t xml:space="preserve">של עופר </w:t>
      </w:r>
      <w:proofErr w:type="spellStart"/>
      <w:r w:rsidRPr="005B2E39">
        <w:rPr>
          <w:sz w:val="22"/>
          <w:szCs w:val="22"/>
          <w:rtl/>
          <w:lang w:bidi="he-IL"/>
        </w:rPr>
        <w:t>אבניר</w:t>
      </w:r>
      <w:proofErr w:type="spellEnd"/>
      <w:r w:rsidRPr="005B2E39">
        <w:rPr>
          <w:sz w:val="22"/>
          <w:szCs w:val="22"/>
          <w:rtl/>
          <w:lang w:bidi="he-IL"/>
        </w:rPr>
        <w:t xml:space="preserve">: הגרלה שתיערך בין כל </w:t>
      </w:r>
      <w:proofErr w:type="spellStart"/>
      <w:r w:rsidRPr="005B2E39">
        <w:rPr>
          <w:sz w:val="22"/>
          <w:szCs w:val="22"/>
          <w:rtl/>
          <w:lang w:bidi="he-IL"/>
        </w:rPr>
        <w:t>רוכשי</w:t>
      </w:r>
      <w:proofErr w:type="spellEnd"/>
      <w:r w:rsidRPr="005B2E39">
        <w:rPr>
          <w:sz w:val="22"/>
          <w:szCs w:val="22"/>
          <w:rtl/>
          <w:lang w:bidi="he-IL"/>
        </w:rPr>
        <w:t xml:space="preserve"> האופנועים תנפיק זוג כרטיסים זוגיים (סה"כ </w:t>
      </w:r>
      <w:r w:rsidR="00AE0038">
        <w:rPr>
          <w:rFonts w:hint="cs"/>
          <w:sz w:val="22"/>
          <w:szCs w:val="22"/>
          <w:rtl/>
          <w:lang w:bidi="he-IL"/>
        </w:rPr>
        <w:t>ארבעה</w:t>
      </w:r>
      <w:r w:rsidRPr="005B2E39">
        <w:rPr>
          <w:sz w:val="22"/>
          <w:szCs w:val="22"/>
          <w:rtl/>
          <w:lang w:bidi="he-IL"/>
        </w:rPr>
        <w:t xml:space="preserve"> כרטיסים) לאירוח במתחם סוזוקי הרשמי באליפות העולם במהלך מרוץ גראנד פרי רשמי באירופה</w:t>
      </w:r>
      <w:r w:rsidRPr="005B2E39">
        <w:rPr>
          <w:sz w:val="22"/>
          <w:szCs w:val="22"/>
          <w:lang w:bidi="he-IL"/>
        </w:rPr>
        <w:t>.</w:t>
      </w:r>
      <w:r>
        <w:rPr>
          <w:rFonts w:hint="cs"/>
          <w:sz w:val="22"/>
          <w:szCs w:val="22"/>
          <w:rtl/>
          <w:lang w:bidi="he-IL"/>
        </w:rPr>
        <w:t xml:space="preserve"> </w:t>
      </w:r>
    </w:p>
    <w:p w:rsidR="001B268C" w:rsidRDefault="001B268C" w:rsidP="001B268C">
      <w:pPr>
        <w:bidi/>
        <w:spacing w:line="360" w:lineRule="auto"/>
        <w:ind w:firstLine="454"/>
        <w:jc w:val="both"/>
        <w:rPr>
          <w:b/>
          <w:bCs/>
          <w:i/>
          <w:iCs/>
          <w:sz w:val="22"/>
          <w:szCs w:val="22"/>
          <w:rtl/>
          <w:lang w:bidi="he-IL"/>
        </w:rPr>
      </w:pPr>
    </w:p>
    <w:p w:rsidR="00EB1C80" w:rsidRPr="004124DD" w:rsidRDefault="004124DD" w:rsidP="00AE0038">
      <w:pPr>
        <w:bidi/>
        <w:spacing w:line="360" w:lineRule="auto"/>
        <w:ind w:firstLine="454"/>
        <w:jc w:val="both"/>
        <w:rPr>
          <w:i/>
          <w:iCs/>
          <w:sz w:val="22"/>
          <w:szCs w:val="22"/>
          <w:rtl/>
          <w:lang w:bidi="he-IL"/>
        </w:rPr>
      </w:pPr>
      <w:r w:rsidRPr="004124DD">
        <w:rPr>
          <w:rFonts w:hint="cs"/>
          <w:b/>
          <w:bCs/>
          <w:i/>
          <w:iCs/>
          <w:sz w:val="22"/>
          <w:szCs w:val="22"/>
          <w:rtl/>
          <w:lang w:bidi="he-IL"/>
        </w:rPr>
        <w:t>קובי גילון, סמנכ"ל שיווק בעופר אבניר:</w:t>
      </w:r>
      <w:r w:rsidRPr="004124DD">
        <w:rPr>
          <w:rFonts w:hint="cs"/>
          <w:i/>
          <w:iCs/>
          <w:sz w:val="22"/>
          <w:szCs w:val="22"/>
          <w:rtl/>
          <w:lang w:bidi="he-IL"/>
        </w:rPr>
        <w:t xml:space="preserve"> "מותג סוזוקי ממשיך לצמוח בישראל. במהלך השנה האחרונה השקנו </w:t>
      </w:r>
      <w:r w:rsidR="00182660" w:rsidRPr="00E06185">
        <w:rPr>
          <w:rFonts w:hint="cs"/>
          <w:i/>
          <w:iCs/>
          <w:sz w:val="22"/>
          <w:szCs w:val="22"/>
          <w:rtl/>
          <w:lang w:bidi="he-IL"/>
        </w:rPr>
        <w:t>ארבעה</w:t>
      </w:r>
      <w:r w:rsidRPr="004124DD">
        <w:rPr>
          <w:rFonts w:hint="cs"/>
          <w:i/>
          <w:iCs/>
          <w:sz w:val="22"/>
          <w:szCs w:val="22"/>
          <w:rtl/>
          <w:lang w:bidi="he-IL"/>
        </w:rPr>
        <w:t xml:space="preserve"> אופנועים חדשים, במחירים אטרקטיביים בשורה של ס</w:t>
      </w:r>
      <w:r w:rsidR="001B533D">
        <w:rPr>
          <w:rFonts w:hint="cs"/>
          <w:i/>
          <w:iCs/>
          <w:sz w:val="22"/>
          <w:szCs w:val="22"/>
          <w:rtl/>
          <w:lang w:bidi="he-IL"/>
        </w:rPr>
        <w:t xml:space="preserve">גמנטים, כשהדבר מתבטא גם בגידול </w:t>
      </w:r>
      <w:r w:rsidRPr="004124DD">
        <w:rPr>
          <w:rFonts w:hint="cs"/>
          <w:i/>
          <w:iCs/>
          <w:sz w:val="22"/>
          <w:szCs w:val="22"/>
          <w:rtl/>
          <w:lang w:bidi="he-IL"/>
        </w:rPr>
        <w:t>במספר המסירות בהשוואה לתקופה המקבילה אשתקד עם להיטי מכירות כדוגמת ה-</w:t>
      </w:r>
      <w:r w:rsidR="007964DB" w:rsidRPr="00E06185">
        <w:rPr>
          <w:i/>
          <w:iCs/>
          <w:sz w:val="22"/>
          <w:szCs w:val="22"/>
          <w:lang w:bidi="he-IL"/>
        </w:rPr>
        <w:t>GSX-S750</w:t>
      </w:r>
      <w:r w:rsidRPr="004124DD">
        <w:rPr>
          <w:rFonts w:hint="cs"/>
          <w:i/>
          <w:iCs/>
          <w:sz w:val="22"/>
          <w:szCs w:val="22"/>
          <w:rtl/>
          <w:lang w:bidi="he-IL"/>
        </w:rPr>
        <w:t xml:space="preserve"> או </w:t>
      </w:r>
      <w:r w:rsidR="007964DB">
        <w:rPr>
          <w:rFonts w:hint="cs"/>
          <w:i/>
          <w:iCs/>
          <w:sz w:val="22"/>
          <w:szCs w:val="22"/>
          <w:rtl/>
          <w:lang w:bidi="he-IL"/>
        </w:rPr>
        <w:t>ה-</w:t>
      </w:r>
      <w:r w:rsidR="007964DB" w:rsidRPr="00E06185">
        <w:rPr>
          <w:i/>
          <w:iCs/>
          <w:sz w:val="22"/>
          <w:szCs w:val="22"/>
          <w:lang w:bidi="he-IL"/>
        </w:rPr>
        <w:t>SV650</w:t>
      </w:r>
      <w:r w:rsidR="00AE0038">
        <w:rPr>
          <w:rFonts w:hint="cs"/>
          <w:i/>
          <w:iCs/>
          <w:sz w:val="22"/>
          <w:szCs w:val="22"/>
          <w:rtl/>
          <w:lang w:bidi="he-IL"/>
        </w:rPr>
        <w:t>.</w:t>
      </w:r>
      <w:r w:rsidRPr="004124DD">
        <w:rPr>
          <w:rFonts w:hint="cs"/>
          <w:i/>
          <w:iCs/>
          <w:sz w:val="22"/>
          <w:szCs w:val="22"/>
          <w:rtl/>
          <w:lang w:bidi="he-IL"/>
        </w:rPr>
        <w:t xml:space="preserve"> ה-</w:t>
      </w:r>
      <w:r w:rsidRPr="004124DD">
        <w:rPr>
          <w:i/>
          <w:iCs/>
          <w:sz w:val="22"/>
          <w:szCs w:val="22"/>
          <w:lang w:bidi="he-IL"/>
        </w:rPr>
        <w:t>GSX250R</w:t>
      </w:r>
      <w:r w:rsidRPr="004124DD">
        <w:rPr>
          <w:rFonts w:hint="cs"/>
          <w:i/>
          <w:iCs/>
          <w:sz w:val="22"/>
          <w:szCs w:val="22"/>
          <w:rtl/>
          <w:lang w:bidi="he-IL"/>
        </w:rPr>
        <w:t xml:space="preserve"> מציע ל</w:t>
      </w:r>
      <w:r w:rsidR="00EB1C80" w:rsidRPr="004124DD">
        <w:rPr>
          <w:rFonts w:hint="cs"/>
          <w:i/>
          <w:iCs/>
          <w:sz w:val="22"/>
          <w:szCs w:val="22"/>
          <w:rtl/>
          <w:lang w:bidi="he-IL"/>
        </w:rPr>
        <w:t xml:space="preserve">רוכבי הכביש הציבורי </w:t>
      </w:r>
      <w:r w:rsidRPr="004124DD">
        <w:rPr>
          <w:rFonts w:hint="cs"/>
          <w:i/>
          <w:iCs/>
          <w:sz w:val="22"/>
          <w:szCs w:val="22"/>
          <w:rtl/>
          <w:lang w:bidi="he-IL"/>
        </w:rPr>
        <w:t xml:space="preserve">אופנוע הטומן בחובו </w:t>
      </w:r>
      <w:r w:rsidR="005B2E39" w:rsidRPr="004124DD">
        <w:rPr>
          <w:i/>
          <w:iCs/>
          <w:sz w:val="22"/>
          <w:szCs w:val="22"/>
          <w:rtl/>
          <w:lang w:bidi="he-IL"/>
        </w:rPr>
        <w:t>את המורשת הספורטיבית של המותג</w:t>
      </w:r>
      <w:r w:rsidR="00EB1C80" w:rsidRPr="004124DD">
        <w:rPr>
          <w:rFonts w:hint="cs"/>
          <w:i/>
          <w:iCs/>
          <w:sz w:val="22"/>
          <w:szCs w:val="22"/>
          <w:rtl/>
          <w:lang w:bidi="he-IL"/>
        </w:rPr>
        <w:t xml:space="preserve"> בכלל ושל משפחת הג'יקסר בפרט</w:t>
      </w:r>
      <w:r w:rsidR="005B2E39" w:rsidRPr="004124DD">
        <w:rPr>
          <w:i/>
          <w:iCs/>
          <w:sz w:val="22"/>
          <w:szCs w:val="22"/>
          <w:rtl/>
          <w:lang w:bidi="he-IL"/>
        </w:rPr>
        <w:t xml:space="preserve">, </w:t>
      </w:r>
      <w:r w:rsidRPr="004124DD">
        <w:rPr>
          <w:rFonts w:hint="cs"/>
          <w:i/>
          <w:iCs/>
          <w:sz w:val="22"/>
          <w:szCs w:val="22"/>
          <w:rtl/>
          <w:lang w:bidi="he-IL"/>
        </w:rPr>
        <w:t xml:space="preserve">אך </w:t>
      </w:r>
      <w:r w:rsidR="005B2E39" w:rsidRPr="004124DD">
        <w:rPr>
          <w:i/>
          <w:iCs/>
          <w:sz w:val="22"/>
          <w:szCs w:val="22"/>
          <w:rtl/>
          <w:lang w:bidi="he-IL"/>
        </w:rPr>
        <w:t xml:space="preserve">באופן </w:t>
      </w:r>
      <w:r w:rsidRPr="004124DD">
        <w:rPr>
          <w:rFonts w:hint="cs"/>
          <w:i/>
          <w:iCs/>
          <w:sz w:val="22"/>
          <w:szCs w:val="22"/>
          <w:rtl/>
          <w:lang w:bidi="he-IL"/>
        </w:rPr>
        <w:t>ה</w:t>
      </w:r>
      <w:r w:rsidR="005B2E39" w:rsidRPr="004124DD">
        <w:rPr>
          <w:i/>
          <w:iCs/>
          <w:sz w:val="22"/>
          <w:szCs w:val="22"/>
          <w:rtl/>
          <w:lang w:bidi="he-IL"/>
        </w:rPr>
        <w:t xml:space="preserve">מתאים לקהל </w:t>
      </w:r>
      <w:r w:rsidRPr="004124DD">
        <w:rPr>
          <w:rFonts w:hint="cs"/>
          <w:i/>
          <w:iCs/>
          <w:sz w:val="22"/>
          <w:szCs w:val="22"/>
          <w:rtl/>
          <w:lang w:bidi="he-IL"/>
        </w:rPr>
        <w:t>ה</w:t>
      </w:r>
      <w:r w:rsidR="005B2E39" w:rsidRPr="004124DD">
        <w:rPr>
          <w:i/>
          <w:iCs/>
          <w:sz w:val="22"/>
          <w:szCs w:val="22"/>
          <w:rtl/>
          <w:lang w:bidi="he-IL"/>
        </w:rPr>
        <w:t>רחב יותר</w:t>
      </w:r>
      <w:r w:rsidR="00EB1C80" w:rsidRPr="004124DD">
        <w:rPr>
          <w:rFonts w:hint="cs"/>
          <w:i/>
          <w:iCs/>
          <w:sz w:val="22"/>
          <w:szCs w:val="22"/>
          <w:rtl/>
          <w:lang w:bidi="he-IL"/>
        </w:rPr>
        <w:t xml:space="preserve">. </w:t>
      </w:r>
      <w:r w:rsidRPr="004124DD">
        <w:rPr>
          <w:rFonts w:hint="cs"/>
          <w:i/>
          <w:iCs/>
          <w:sz w:val="22"/>
          <w:szCs w:val="22"/>
          <w:rtl/>
          <w:lang w:bidi="he-IL"/>
        </w:rPr>
        <w:t>לאור מגמת המעבר לאופנועים, שנתח השוק שלהם גדל באופן עקב</w:t>
      </w:r>
      <w:r w:rsidR="00AE0038">
        <w:rPr>
          <w:rFonts w:hint="cs"/>
          <w:i/>
          <w:iCs/>
          <w:sz w:val="22"/>
          <w:szCs w:val="22"/>
          <w:rtl/>
          <w:lang w:bidi="he-IL"/>
        </w:rPr>
        <w:t>י</w:t>
      </w:r>
      <w:r w:rsidRPr="004124DD">
        <w:rPr>
          <w:rFonts w:hint="cs"/>
          <w:i/>
          <w:iCs/>
          <w:sz w:val="22"/>
          <w:szCs w:val="22"/>
          <w:rtl/>
          <w:lang w:bidi="he-IL"/>
        </w:rPr>
        <w:t xml:space="preserve"> בשנתיים האחרונות, אנו צופים קבלת פנים חמה לכלי החדש" . </w:t>
      </w:r>
    </w:p>
    <w:p w:rsidR="001B268C" w:rsidRDefault="001B268C" w:rsidP="001B268C">
      <w:pPr>
        <w:bidi/>
        <w:spacing w:line="360" w:lineRule="auto"/>
        <w:ind w:firstLine="454"/>
        <w:jc w:val="both"/>
        <w:rPr>
          <w:sz w:val="22"/>
          <w:szCs w:val="22"/>
          <w:rtl/>
          <w:lang w:bidi="he-IL"/>
        </w:rPr>
      </w:pPr>
    </w:p>
    <w:p w:rsidR="005B2E39" w:rsidRPr="005B2E39" w:rsidRDefault="005B2E39" w:rsidP="006767AC">
      <w:pPr>
        <w:bidi/>
        <w:spacing w:line="360" w:lineRule="auto"/>
        <w:ind w:firstLine="454"/>
        <w:jc w:val="both"/>
        <w:rPr>
          <w:sz w:val="22"/>
          <w:szCs w:val="22"/>
          <w:rtl/>
        </w:rPr>
      </w:pPr>
      <w:r w:rsidRPr="005B2E39">
        <w:rPr>
          <w:sz w:val="22"/>
          <w:szCs w:val="22"/>
          <w:rtl/>
          <w:lang w:bidi="he-IL"/>
        </w:rPr>
        <w:t>ה</w:t>
      </w:r>
      <w:r>
        <w:rPr>
          <w:rFonts w:hint="cs"/>
          <w:sz w:val="22"/>
          <w:szCs w:val="22"/>
          <w:rtl/>
          <w:lang w:bidi="he-IL"/>
        </w:rPr>
        <w:t>-</w:t>
      </w:r>
      <w:r w:rsidR="00AE0038">
        <w:rPr>
          <w:sz w:val="22"/>
          <w:szCs w:val="22"/>
          <w:lang w:bidi="he-IL"/>
        </w:rPr>
        <w:t>GSX250R</w:t>
      </w:r>
      <w:r>
        <w:rPr>
          <w:rFonts w:hint="cs"/>
          <w:sz w:val="22"/>
          <w:szCs w:val="22"/>
          <w:rtl/>
          <w:lang w:bidi="he-IL"/>
        </w:rPr>
        <w:t xml:space="preserve"> </w:t>
      </w:r>
      <w:r w:rsidRPr="005B2E39">
        <w:rPr>
          <w:sz w:val="22"/>
          <w:szCs w:val="22"/>
          <w:rtl/>
          <w:lang w:bidi="he-IL"/>
        </w:rPr>
        <w:t>הוצג לראשונה בסוף השנה שעברה</w:t>
      </w:r>
      <w:r w:rsidR="001B268C">
        <w:rPr>
          <w:rFonts w:hint="cs"/>
          <w:sz w:val="22"/>
          <w:szCs w:val="22"/>
          <w:rtl/>
          <w:lang w:bidi="he-IL"/>
        </w:rPr>
        <w:t xml:space="preserve"> בתערוכת מילאנו</w:t>
      </w:r>
      <w:r w:rsidRPr="005B2E39">
        <w:rPr>
          <w:sz w:val="22"/>
          <w:szCs w:val="22"/>
          <w:rtl/>
          <w:lang w:bidi="he-IL"/>
        </w:rPr>
        <w:t>, וכעת הוא מגיע לישראל עם מראה ספורטיבי עדכני, בהתאם לרוח דגמי משפחת ה</w:t>
      </w:r>
      <w:r>
        <w:rPr>
          <w:rFonts w:hint="cs"/>
          <w:sz w:val="22"/>
          <w:szCs w:val="22"/>
          <w:rtl/>
          <w:lang w:bidi="he-IL"/>
        </w:rPr>
        <w:t>-</w:t>
      </w:r>
      <w:r w:rsidR="00AE0038">
        <w:rPr>
          <w:sz w:val="22"/>
          <w:szCs w:val="22"/>
          <w:lang w:bidi="he-IL"/>
        </w:rPr>
        <w:t>GSXR</w:t>
      </w:r>
      <w:r>
        <w:rPr>
          <w:rFonts w:hint="cs"/>
          <w:sz w:val="22"/>
          <w:szCs w:val="22"/>
          <w:rtl/>
          <w:lang w:bidi="he-IL"/>
        </w:rPr>
        <w:t xml:space="preserve"> </w:t>
      </w:r>
      <w:r w:rsidRPr="005B2E39">
        <w:rPr>
          <w:sz w:val="22"/>
          <w:szCs w:val="22"/>
          <w:rtl/>
          <w:lang w:bidi="he-IL"/>
        </w:rPr>
        <w:t>האגדתית של סוזוקי, עם התנהגו</w:t>
      </w:r>
      <w:r w:rsidR="004124DD">
        <w:rPr>
          <w:sz w:val="22"/>
          <w:szCs w:val="22"/>
          <w:rtl/>
          <w:lang w:bidi="he-IL"/>
        </w:rPr>
        <w:t>ת כביש זריזה אך נשלטת וקלה לרכ</w:t>
      </w:r>
      <w:r w:rsidR="004124DD">
        <w:rPr>
          <w:rFonts w:hint="cs"/>
          <w:sz w:val="22"/>
          <w:szCs w:val="22"/>
          <w:rtl/>
          <w:lang w:bidi="he-IL"/>
        </w:rPr>
        <w:t>יב</w:t>
      </w:r>
      <w:r w:rsidRPr="005B2E39">
        <w:rPr>
          <w:sz w:val="22"/>
          <w:szCs w:val="22"/>
          <w:rtl/>
          <w:lang w:bidi="he-IL"/>
        </w:rPr>
        <w:t>ה, תנוחת רכיבה נוחה</w:t>
      </w:r>
      <w:r w:rsidR="001B268C">
        <w:rPr>
          <w:rFonts w:hint="cs"/>
          <w:sz w:val="22"/>
          <w:szCs w:val="22"/>
          <w:rtl/>
          <w:lang w:bidi="he-IL"/>
        </w:rPr>
        <w:t xml:space="preserve"> עם שילוב אופטימאלי </w:t>
      </w:r>
      <w:r w:rsidRPr="005B2E39">
        <w:rPr>
          <w:sz w:val="22"/>
          <w:szCs w:val="22"/>
          <w:rtl/>
          <w:lang w:bidi="he-IL"/>
        </w:rPr>
        <w:t>בין שימוש יומיומי לטיולים ארוכי טווח</w:t>
      </w:r>
      <w:r>
        <w:rPr>
          <w:rFonts w:hint="cs"/>
          <w:sz w:val="22"/>
          <w:szCs w:val="22"/>
          <w:rtl/>
          <w:lang w:bidi="he-IL"/>
        </w:rPr>
        <w:t xml:space="preserve">. </w:t>
      </w:r>
      <w:r w:rsidRPr="005B2E39">
        <w:rPr>
          <w:sz w:val="22"/>
          <w:szCs w:val="22"/>
          <w:rtl/>
          <w:lang w:bidi="he-IL"/>
        </w:rPr>
        <w:t>ה</w:t>
      </w:r>
      <w:r>
        <w:rPr>
          <w:rFonts w:hint="cs"/>
          <w:sz w:val="22"/>
          <w:szCs w:val="22"/>
          <w:rtl/>
          <w:lang w:bidi="he-IL"/>
        </w:rPr>
        <w:t>-</w:t>
      </w:r>
      <w:r>
        <w:rPr>
          <w:sz w:val="22"/>
          <w:szCs w:val="22"/>
          <w:lang w:bidi="he-IL"/>
        </w:rPr>
        <w:t>GSX250R</w:t>
      </w:r>
      <w:r>
        <w:rPr>
          <w:rFonts w:hint="cs"/>
          <w:sz w:val="22"/>
          <w:szCs w:val="22"/>
          <w:rtl/>
          <w:lang w:bidi="he-IL"/>
        </w:rPr>
        <w:t xml:space="preserve"> </w:t>
      </w:r>
      <w:r w:rsidRPr="005B2E39">
        <w:rPr>
          <w:sz w:val="22"/>
          <w:szCs w:val="22"/>
          <w:rtl/>
          <w:lang w:bidi="he-IL"/>
        </w:rPr>
        <w:t>הוא פתרון מעולה למגוון רחב של רוכבים, החל מכאלו המחפשים לרכוש את אופנוע הספורט הראשון שלהם וכלה ברוכבים וותיקים שחוזרים לעולם האופנועים לאחר מס' שנות הפסקה</w:t>
      </w:r>
      <w:r w:rsidRPr="005B2E39">
        <w:rPr>
          <w:sz w:val="22"/>
          <w:szCs w:val="22"/>
          <w:lang w:bidi="he-IL"/>
        </w:rPr>
        <w:t>.</w:t>
      </w:r>
    </w:p>
    <w:p w:rsidR="005B2E39" w:rsidRPr="005B2E39" w:rsidRDefault="005B2E39" w:rsidP="001B268C">
      <w:pPr>
        <w:bidi/>
        <w:spacing w:line="360" w:lineRule="auto"/>
        <w:ind w:firstLine="454"/>
        <w:jc w:val="both"/>
        <w:rPr>
          <w:sz w:val="22"/>
          <w:szCs w:val="22"/>
          <w:rtl/>
        </w:rPr>
      </w:pPr>
    </w:p>
    <w:p w:rsidR="005B2E39" w:rsidRPr="005B2E39" w:rsidRDefault="005B2E39" w:rsidP="006767AC">
      <w:pPr>
        <w:bidi/>
        <w:spacing w:line="360" w:lineRule="auto"/>
        <w:ind w:firstLine="454"/>
        <w:jc w:val="both"/>
        <w:rPr>
          <w:sz w:val="22"/>
          <w:szCs w:val="22"/>
          <w:rtl/>
        </w:rPr>
      </w:pPr>
      <w:r w:rsidRPr="005B2E39">
        <w:rPr>
          <w:sz w:val="22"/>
          <w:szCs w:val="22"/>
          <w:rtl/>
          <w:lang w:bidi="he-IL"/>
        </w:rPr>
        <w:t>הסוזוקי</w:t>
      </w:r>
      <w:r w:rsidRPr="005B2E39">
        <w:rPr>
          <w:sz w:val="22"/>
          <w:szCs w:val="22"/>
          <w:lang w:bidi="he-IL"/>
        </w:rPr>
        <w:t xml:space="preserve"> GSX250R </w:t>
      </w:r>
      <w:r w:rsidRPr="005B2E39">
        <w:rPr>
          <w:sz w:val="22"/>
          <w:szCs w:val="22"/>
          <w:rtl/>
          <w:lang w:bidi="he-IL"/>
        </w:rPr>
        <w:t xml:space="preserve">הינו היחיד בקטגורית הנפח שלו, המצויד במנוע בעל 2 צילינדרים, המכוון לטובת זמינות כוח וגמישות בסל"ד נמוך ובינוני, ובכך הופך את האופנוע כולו לשימושי במיוחד בעיקר במהירויות שבין 20 ל-90 קמ"ש, שהן </w:t>
      </w:r>
      <w:r w:rsidRPr="005B2E39">
        <w:rPr>
          <w:sz w:val="22"/>
          <w:szCs w:val="22"/>
          <w:rtl/>
          <w:lang w:bidi="he-IL"/>
        </w:rPr>
        <w:lastRenderedPageBreak/>
        <w:t xml:space="preserve">המהירויות הממוצעות לאופנועים בשימוש יומיומי. שיא ההספק הינו 25 כ"ס המושגים ב-8,000 סל"ד, </w:t>
      </w:r>
      <w:r w:rsidR="001B268C">
        <w:rPr>
          <w:rFonts w:hint="cs"/>
          <w:sz w:val="22"/>
          <w:szCs w:val="22"/>
          <w:rtl/>
          <w:lang w:bidi="he-IL"/>
        </w:rPr>
        <w:t xml:space="preserve">בעוד </w:t>
      </w:r>
      <w:r w:rsidR="001B268C">
        <w:rPr>
          <w:sz w:val="22"/>
          <w:szCs w:val="22"/>
          <w:rtl/>
          <w:lang w:bidi="he-IL"/>
        </w:rPr>
        <w:t>שיא המומנט</w:t>
      </w:r>
      <w:r w:rsidR="00182660">
        <w:rPr>
          <w:rFonts w:hint="cs"/>
          <w:sz w:val="22"/>
          <w:szCs w:val="22"/>
          <w:rtl/>
          <w:lang w:bidi="he-IL"/>
        </w:rPr>
        <w:t xml:space="preserve">, </w:t>
      </w:r>
      <w:r w:rsidR="00182660" w:rsidRPr="00E06185">
        <w:rPr>
          <w:rFonts w:hint="cs"/>
          <w:sz w:val="22"/>
          <w:szCs w:val="22"/>
          <w:rtl/>
          <w:lang w:bidi="he-IL"/>
        </w:rPr>
        <w:t>2.4 קג"מ</w:t>
      </w:r>
      <w:r w:rsidR="00182660">
        <w:rPr>
          <w:rFonts w:hint="cs"/>
          <w:sz w:val="22"/>
          <w:szCs w:val="22"/>
          <w:rtl/>
          <w:lang w:bidi="he-IL"/>
        </w:rPr>
        <w:t>,</w:t>
      </w:r>
      <w:r w:rsidR="006767AC">
        <w:rPr>
          <w:rFonts w:hint="cs"/>
          <w:sz w:val="22"/>
          <w:szCs w:val="22"/>
          <w:rtl/>
          <w:lang w:bidi="he-IL"/>
        </w:rPr>
        <w:t xml:space="preserve"> מ</w:t>
      </w:r>
      <w:r w:rsidR="001B268C">
        <w:rPr>
          <w:sz w:val="22"/>
          <w:szCs w:val="22"/>
          <w:rtl/>
          <w:lang w:bidi="he-IL"/>
        </w:rPr>
        <w:t>ושג ב-6,500 סל"</w:t>
      </w:r>
      <w:r w:rsidR="001B268C">
        <w:rPr>
          <w:rFonts w:hint="cs"/>
          <w:sz w:val="22"/>
          <w:szCs w:val="22"/>
          <w:rtl/>
          <w:lang w:bidi="he-IL"/>
        </w:rPr>
        <w:t>ד.</w:t>
      </w:r>
      <w:r w:rsidR="006767AC">
        <w:rPr>
          <w:rFonts w:hint="cs"/>
          <w:sz w:val="22"/>
          <w:szCs w:val="22"/>
          <w:rtl/>
          <w:lang w:bidi="he-IL"/>
        </w:rPr>
        <w:t xml:space="preserve"> </w:t>
      </w:r>
      <w:r w:rsidRPr="005B2E39">
        <w:rPr>
          <w:sz w:val="22"/>
          <w:szCs w:val="22"/>
          <w:rtl/>
          <w:lang w:bidi="he-IL"/>
        </w:rPr>
        <w:t>השימוש במנוע כפול צילינדרים (</w:t>
      </w:r>
      <w:r w:rsidRPr="00E06185">
        <w:rPr>
          <w:sz w:val="22"/>
          <w:szCs w:val="22"/>
          <w:rtl/>
          <w:lang w:bidi="he-IL"/>
        </w:rPr>
        <w:t xml:space="preserve">ולא </w:t>
      </w:r>
      <w:r w:rsidR="00182660" w:rsidRPr="00E06185">
        <w:rPr>
          <w:rFonts w:hint="cs"/>
          <w:sz w:val="22"/>
          <w:szCs w:val="22"/>
          <w:rtl/>
          <w:lang w:bidi="he-IL"/>
        </w:rPr>
        <w:t xml:space="preserve">במנוע סינגל, צילינדר </w:t>
      </w:r>
      <w:r w:rsidRPr="00E06185">
        <w:rPr>
          <w:sz w:val="22"/>
          <w:szCs w:val="22"/>
          <w:rtl/>
          <w:lang w:bidi="he-IL"/>
        </w:rPr>
        <w:t>יחיד</w:t>
      </w:r>
      <w:r w:rsidRPr="005B2E39">
        <w:rPr>
          <w:sz w:val="22"/>
          <w:szCs w:val="22"/>
          <w:rtl/>
          <w:lang w:bidi="he-IL"/>
        </w:rPr>
        <w:t xml:space="preserve">, כבשאר אופנועי הקטגוריה), </w:t>
      </w:r>
      <w:r w:rsidR="00182660">
        <w:rPr>
          <w:rFonts w:hint="cs"/>
          <w:sz w:val="22"/>
          <w:szCs w:val="22"/>
          <w:rtl/>
          <w:lang w:bidi="he-IL"/>
        </w:rPr>
        <w:t>נועד כדי לספק לרכיבה רצועת כוח רחבה וזמינה</w:t>
      </w:r>
      <w:r w:rsidR="00F97B56">
        <w:rPr>
          <w:rFonts w:hint="cs"/>
          <w:sz w:val="22"/>
          <w:szCs w:val="22"/>
          <w:rtl/>
          <w:lang w:bidi="he-IL"/>
        </w:rPr>
        <w:t xml:space="preserve">, </w:t>
      </w:r>
      <w:r w:rsidR="00F97B56" w:rsidRPr="00E06185">
        <w:rPr>
          <w:rFonts w:hint="cs"/>
          <w:sz w:val="22"/>
          <w:szCs w:val="22"/>
          <w:rtl/>
          <w:lang w:bidi="he-IL"/>
        </w:rPr>
        <w:t>המושגת באמצעות תיבה בת 6 הילוכים עם יחסי העברה מדויקים ומאוזנים</w:t>
      </w:r>
      <w:r w:rsidR="00F97B56">
        <w:rPr>
          <w:rFonts w:hint="cs"/>
          <w:sz w:val="22"/>
          <w:szCs w:val="22"/>
          <w:rtl/>
          <w:lang w:bidi="he-IL"/>
        </w:rPr>
        <w:t>,</w:t>
      </w:r>
      <w:r w:rsidR="00182660">
        <w:rPr>
          <w:rFonts w:hint="cs"/>
          <w:sz w:val="22"/>
          <w:szCs w:val="22"/>
          <w:rtl/>
          <w:lang w:bidi="he-IL"/>
        </w:rPr>
        <w:t xml:space="preserve"> ולהפוך את השליטה ברכיבה כולה, לקלה ונטולת דרמות. עוד הבטחה בנעוצה בקיומו של צילינדר נוסף במנוע השותף למאמץ, היא  </w:t>
      </w:r>
      <w:r w:rsidRPr="005B2E39">
        <w:rPr>
          <w:sz w:val="22"/>
          <w:szCs w:val="22"/>
          <w:rtl/>
          <w:lang w:bidi="he-IL"/>
        </w:rPr>
        <w:t>אמינות רבה ועלות אחזקה שוטפת נמוכה במיוחד</w:t>
      </w:r>
      <w:r w:rsidR="00E06185">
        <w:rPr>
          <w:rFonts w:hint="cs"/>
          <w:sz w:val="22"/>
          <w:szCs w:val="22"/>
          <w:rtl/>
          <w:lang w:bidi="he-IL"/>
        </w:rPr>
        <w:t>.</w:t>
      </w:r>
      <w:r w:rsidR="001B268C">
        <w:rPr>
          <w:rFonts w:hint="cs"/>
          <w:sz w:val="22"/>
          <w:szCs w:val="22"/>
          <w:rtl/>
          <w:lang w:bidi="he-IL"/>
        </w:rPr>
        <w:t xml:space="preserve"> </w:t>
      </w:r>
      <w:r w:rsidRPr="005B2E39">
        <w:rPr>
          <w:sz w:val="22"/>
          <w:szCs w:val="22"/>
          <w:rtl/>
          <w:lang w:bidi="he-IL"/>
        </w:rPr>
        <w:t>המנוע, העומד בתקן יורו 4 המחמיר, הינו בעל תצרוכת דלק חסכונית ונמוכה</w:t>
      </w:r>
      <w:r w:rsidR="00F97B56">
        <w:rPr>
          <w:rFonts w:hint="cs"/>
          <w:sz w:val="22"/>
          <w:szCs w:val="22"/>
          <w:rtl/>
          <w:lang w:bidi="he-IL"/>
        </w:rPr>
        <w:t xml:space="preserve"> </w:t>
      </w:r>
      <w:r w:rsidR="00F97B56" w:rsidRPr="00E06185">
        <w:rPr>
          <w:rFonts w:hint="cs"/>
          <w:sz w:val="22"/>
          <w:szCs w:val="22"/>
          <w:rtl/>
          <w:lang w:bidi="he-IL"/>
        </w:rPr>
        <w:t xml:space="preserve">בזכות היותו מנוע מסוג </w:t>
      </w:r>
      <w:r w:rsidR="00F97B56" w:rsidRPr="00E06185">
        <w:rPr>
          <w:sz w:val="22"/>
          <w:szCs w:val="22"/>
          <w:lang w:bidi="he-IL"/>
        </w:rPr>
        <w:t>Twin Parallel</w:t>
      </w:r>
      <w:r w:rsidRPr="005B2E39">
        <w:rPr>
          <w:sz w:val="22"/>
          <w:szCs w:val="22"/>
          <w:rtl/>
          <w:lang w:bidi="he-IL"/>
        </w:rPr>
        <w:t>: 32.5 ק"מ לליטר, המעניקים לו טווח פוטנציאלי של 480 ק"מ לרכיבה רצופה</w:t>
      </w:r>
      <w:r w:rsidRPr="005B2E39">
        <w:rPr>
          <w:sz w:val="22"/>
          <w:szCs w:val="22"/>
          <w:lang w:bidi="he-IL"/>
        </w:rPr>
        <w:t>.</w:t>
      </w:r>
    </w:p>
    <w:p w:rsidR="000A440D" w:rsidRDefault="000A440D" w:rsidP="001B268C">
      <w:pPr>
        <w:bidi/>
        <w:spacing w:line="360" w:lineRule="auto"/>
        <w:ind w:firstLine="454"/>
        <w:jc w:val="both"/>
        <w:rPr>
          <w:sz w:val="22"/>
          <w:szCs w:val="22"/>
          <w:rtl/>
          <w:lang w:bidi="he-IL"/>
        </w:rPr>
      </w:pPr>
    </w:p>
    <w:p w:rsidR="001B5168" w:rsidRDefault="005B2E39" w:rsidP="00F97B56">
      <w:pPr>
        <w:bidi/>
        <w:spacing w:line="360" w:lineRule="auto"/>
        <w:ind w:firstLine="454"/>
        <w:jc w:val="both"/>
        <w:rPr>
          <w:sz w:val="22"/>
          <w:szCs w:val="22"/>
          <w:rtl/>
          <w:lang w:bidi="he-IL"/>
        </w:rPr>
      </w:pPr>
      <w:r w:rsidRPr="005B2E39">
        <w:rPr>
          <w:sz w:val="22"/>
          <w:szCs w:val="22"/>
          <w:rtl/>
          <w:lang w:bidi="he-IL"/>
        </w:rPr>
        <w:t>בתחום הבטיחות עושה האופנוע שימוש במתלים קדמיים ואחוריים מתוצרת</w:t>
      </w:r>
      <w:r w:rsidRPr="005B2E39">
        <w:rPr>
          <w:sz w:val="22"/>
          <w:szCs w:val="22"/>
          <w:lang w:bidi="he-IL"/>
        </w:rPr>
        <w:t xml:space="preserve"> Kayaba </w:t>
      </w:r>
      <w:r w:rsidRPr="005B2E39">
        <w:rPr>
          <w:sz w:val="22"/>
          <w:szCs w:val="22"/>
          <w:rtl/>
          <w:lang w:bidi="he-IL"/>
        </w:rPr>
        <w:t>היפנית ובבלמי דיסק הנשלטים על ידי מערכת</w:t>
      </w:r>
      <w:r w:rsidRPr="005B2E39">
        <w:rPr>
          <w:sz w:val="22"/>
          <w:szCs w:val="22"/>
          <w:lang w:bidi="he-IL"/>
        </w:rPr>
        <w:t xml:space="preserve"> ABS </w:t>
      </w:r>
      <w:r w:rsidRPr="005B2E39">
        <w:rPr>
          <w:sz w:val="22"/>
          <w:szCs w:val="22"/>
          <w:rtl/>
          <w:lang w:bidi="he-IL"/>
        </w:rPr>
        <w:t>מתוצרת</w:t>
      </w:r>
      <w:r w:rsidRPr="005B2E39">
        <w:rPr>
          <w:sz w:val="22"/>
          <w:szCs w:val="22"/>
          <w:lang w:bidi="he-IL"/>
        </w:rPr>
        <w:t xml:space="preserve"> Bosch </w:t>
      </w:r>
      <w:r w:rsidRPr="005B2E39">
        <w:rPr>
          <w:sz w:val="22"/>
          <w:szCs w:val="22"/>
          <w:rtl/>
          <w:lang w:bidi="he-IL"/>
        </w:rPr>
        <w:t>הגרמנית וכן חישוקים חדשים בעלי 10 חישורים עם צמיגי</w:t>
      </w:r>
      <w:r w:rsidRPr="005B2E39">
        <w:rPr>
          <w:sz w:val="22"/>
          <w:szCs w:val="22"/>
          <w:lang w:bidi="he-IL"/>
        </w:rPr>
        <w:t xml:space="preserve"> IRC </w:t>
      </w:r>
      <w:r w:rsidRPr="005B2E39">
        <w:rPr>
          <w:sz w:val="22"/>
          <w:szCs w:val="22"/>
          <w:rtl/>
          <w:lang w:bidi="he-IL"/>
        </w:rPr>
        <w:t>לטובת אחיזה מקסימלית</w:t>
      </w:r>
      <w:r w:rsidR="00F97B56">
        <w:rPr>
          <w:rFonts w:hint="cs"/>
          <w:sz w:val="22"/>
          <w:szCs w:val="22"/>
          <w:rtl/>
          <w:lang w:bidi="he-IL"/>
        </w:rPr>
        <w:t xml:space="preserve"> </w:t>
      </w:r>
      <w:r w:rsidR="00F97B56" w:rsidRPr="00E06185">
        <w:rPr>
          <w:rFonts w:hint="cs"/>
          <w:sz w:val="22"/>
          <w:szCs w:val="22"/>
          <w:rtl/>
          <w:lang w:bidi="he-IL"/>
        </w:rPr>
        <w:t>(רוחב הצמיג האחורי: 140 מ"מ)</w:t>
      </w:r>
      <w:r w:rsidRPr="00E06185">
        <w:rPr>
          <w:sz w:val="22"/>
          <w:szCs w:val="22"/>
          <w:rtl/>
          <w:lang w:bidi="he-IL"/>
        </w:rPr>
        <w:t>.</w:t>
      </w:r>
      <w:r w:rsidRPr="005B2E39">
        <w:rPr>
          <w:sz w:val="22"/>
          <w:szCs w:val="22"/>
          <w:rtl/>
          <w:lang w:bidi="he-IL"/>
        </w:rPr>
        <w:t xml:space="preserve"> </w:t>
      </w:r>
      <w:r w:rsidR="001B268C">
        <w:rPr>
          <w:rFonts w:hint="cs"/>
          <w:sz w:val="22"/>
          <w:szCs w:val="22"/>
          <w:rtl/>
          <w:lang w:bidi="he-IL"/>
        </w:rPr>
        <w:t xml:space="preserve">האופנוע כולל </w:t>
      </w:r>
      <w:r w:rsidR="001B268C" w:rsidRPr="005B2E39">
        <w:rPr>
          <w:sz w:val="22"/>
          <w:szCs w:val="22"/>
          <w:rtl/>
          <w:lang w:bidi="he-IL"/>
        </w:rPr>
        <w:t xml:space="preserve">ידיות </w:t>
      </w:r>
      <w:r w:rsidR="001B268C" w:rsidRPr="005B2E39">
        <w:rPr>
          <w:sz w:val="22"/>
          <w:szCs w:val="22"/>
          <w:lang w:bidi="he-IL"/>
        </w:rPr>
        <w:t>S</w:t>
      </w:r>
      <w:r w:rsidR="001B268C">
        <w:rPr>
          <w:sz w:val="22"/>
          <w:szCs w:val="22"/>
          <w:lang w:bidi="he-IL"/>
        </w:rPr>
        <w:t>emi Clip-Ons</w:t>
      </w:r>
      <w:r w:rsidR="001B268C">
        <w:rPr>
          <w:rFonts w:hint="cs"/>
          <w:sz w:val="22"/>
          <w:szCs w:val="22"/>
          <w:rtl/>
          <w:lang w:bidi="he-IL"/>
        </w:rPr>
        <w:t xml:space="preserve"> ש</w:t>
      </w:r>
      <w:r w:rsidRPr="005B2E39">
        <w:rPr>
          <w:sz w:val="22"/>
          <w:szCs w:val="22"/>
          <w:rtl/>
          <w:lang w:bidi="he-IL"/>
        </w:rPr>
        <w:t xml:space="preserve">למרות </w:t>
      </w:r>
      <w:r w:rsidR="001B268C">
        <w:rPr>
          <w:rFonts w:hint="cs"/>
          <w:sz w:val="22"/>
          <w:szCs w:val="22"/>
          <w:rtl/>
          <w:lang w:bidi="he-IL"/>
        </w:rPr>
        <w:t xml:space="preserve">היותן </w:t>
      </w:r>
      <w:r w:rsidRPr="005B2E39">
        <w:rPr>
          <w:sz w:val="22"/>
          <w:szCs w:val="22"/>
          <w:rtl/>
          <w:lang w:bidi="he-IL"/>
        </w:rPr>
        <w:t>נפרדות מ-2 צדי המשולש העליון, הרי שהן ממוקמות גבוה יחסית כדי להעניק לרוכב תנוחת רכיבה נוחה לאורך זמן, וכזו המאפשרת נקודת מ</w:t>
      </w:r>
      <w:r w:rsidR="001B268C">
        <w:rPr>
          <w:sz w:val="22"/>
          <w:szCs w:val="22"/>
          <w:rtl/>
          <w:lang w:bidi="he-IL"/>
        </w:rPr>
        <w:t>בט גבוהה ורחבה על התנועה שמלפנ</w:t>
      </w:r>
      <w:r w:rsidR="001B268C">
        <w:rPr>
          <w:rFonts w:hint="cs"/>
          <w:sz w:val="22"/>
          <w:szCs w:val="22"/>
          <w:rtl/>
          <w:lang w:bidi="he-IL"/>
        </w:rPr>
        <w:t xml:space="preserve">ים. </w:t>
      </w:r>
    </w:p>
    <w:p w:rsidR="001B5168" w:rsidRDefault="001B5168" w:rsidP="001B5168">
      <w:pPr>
        <w:bidi/>
        <w:spacing w:line="360" w:lineRule="auto"/>
        <w:ind w:firstLine="454"/>
        <w:jc w:val="both"/>
        <w:rPr>
          <w:sz w:val="22"/>
          <w:szCs w:val="22"/>
          <w:rtl/>
          <w:lang w:bidi="he-IL"/>
        </w:rPr>
      </w:pPr>
    </w:p>
    <w:p w:rsidR="005B2E39" w:rsidRDefault="00AE0038" w:rsidP="00E06185">
      <w:pPr>
        <w:bidi/>
        <w:spacing w:line="360" w:lineRule="auto"/>
        <w:ind w:firstLine="454"/>
        <w:jc w:val="both"/>
        <w:rPr>
          <w:sz w:val="22"/>
          <w:szCs w:val="22"/>
          <w:rtl/>
        </w:rPr>
      </w:pPr>
      <w:r>
        <w:rPr>
          <w:rFonts w:hint="cs"/>
          <w:sz w:val="22"/>
          <w:szCs w:val="22"/>
          <w:rtl/>
          <w:lang w:bidi="he-IL"/>
        </w:rPr>
        <w:t>ה-</w:t>
      </w:r>
      <w:r w:rsidR="001B5168">
        <w:rPr>
          <w:sz w:val="22"/>
          <w:szCs w:val="22"/>
          <w:lang w:bidi="he-IL"/>
        </w:rPr>
        <w:t>GSX250R</w:t>
      </w:r>
      <w:r w:rsidR="001B5168">
        <w:rPr>
          <w:rFonts w:hint="cs"/>
          <w:sz w:val="22"/>
          <w:szCs w:val="22"/>
          <w:rtl/>
          <w:lang w:bidi="he-IL"/>
        </w:rPr>
        <w:t xml:space="preserve"> מצויד גם </w:t>
      </w:r>
      <w:r w:rsidR="005B2E39" w:rsidRPr="005B2E39">
        <w:rPr>
          <w:sz w:val="22"/>
          <w:szCs w:val="22"/>
          <w:rtl/>
          <w:lang w:bidi="he-IL"/>
        </w:rPr>
        <w:t>בלוח שעונים מסוג</w:t>
      </w:r>
      <w:r w:rsidR="005B2E39" w:rsidRPr="005B2E39">
        <w:rPr>
          <w:sz w:val="22"/>
          <w:szCs w:val="22"/>
          <w:lang w:bidi="he-IL"/>
        </w:rPr>
        <w:t xml:space="preserve"> LCD </w:t>
      </w:r>
      <w:r w:rsidR="005B2E39" w:rsidRPr="005B2E39">
        <w:rPr>
          <w:sz w:val="22"/>
          <w:szCs w:val="22"/>
          <w:rtl/>
          <w:lang w:bidi="he-IL"/>
        </w:rPr>
        <w:t xml:space="preserve">חדיש המציג גם תצוגת מצב הילוכים, מד דלק, טווח רכיבה פוטנציאלי, צריכת דלק ממוצעת, שעון והתראות טיפולים והחלפות שמן וכל זאת בנוסף לתצוגת המהירות והסל"ד. בתחום העיצוב </w:t>
      </w:r>
      <w:r w:rsidR="001B5168">
        <w:rPr>
          <w:rFonts w:hint="cs"/>
          <w:sz w:val="22"/>
          <w:szCs w:val="22"/>
          <w:rtl/>
          <w:lang w:bidi="he-IL"/>
        </w:rPr>
        <w:t>נ</w:t>
      </w:r>
      <w:r w:rsidR="005B2E39" w:rsidRPr="005B2E39">
        <w:rPr>
          <w:sz w:val="22"/>
          <w:szCs w:val="22"/>
          <w:rtl/>
          <w:lang w:bidi="he-IL"/>
        </w:rPr>
        <w:t>ציין כי מלבד מעטפת הפיירינג הספורטיבית, מצויד האופנוע במושב מפוצל ונפרד לרוכב ולמורכב. מושב הרוכב הינו בגובה 790 מ"מ וככזה הוא מתאים למגוון רחב של רוכבים בגבהים שונים.</w:t>
      </w:r>
      <w:r w:rsidR="00F97B56">
        <w:rPr>
          <w:rFonts w:hint="cs"/>
          <w:sz w:val="22"/>
          <w:szCs w:val="22"/>
          <w:rtl/>
          <w:lang w:bidi="he-IL"/>
        </w:rPr>
        <w:t xml:space="preserve"> </w:t>
      </w:r>
      <w:r w:rsidR="00F97B56" w:rsidRPr="00E06185">
        <w:rPr>
          <w:rFonts w:hint="cs"/>
          <w:sz w:val="22"/>
          <w:szCs w:val="22"/>
          <w:rtl/>
          <w:lang w:bidi="he-IL"/>
        </w:rPr>
        <w:t>עיצובו של מיכל הדלק הספורטיבי, הינו צר במיוחד בצד מושב הרוכב, כדי להקל על חביקה מושלמת של הרוכב וכן הגעה נוחה לקרקע. עם זאת, נפח המכל עומד על 15 ליטרים מכובדים המאפשרים רכיבה ארוכה בין תדלוקים.</w:t>
      </w:r>
      <w:r w:rsidR="005B2E39" w:rsidRPr="005B2E39">
        <w:rPr>
          <w:sz w:val="22"/>
          <w:szCs w:val="22"/>
          <w:rtl/>
          <w:lang w:bidi="he-IL"/>
        </w:rPr>
        <w:t xml:space="preserve"> עוד בתחום העיצוב – האופנוע מצויד בנורות</w:t>
      </w:r>
      <w:r w:rsidR="00E06185">
        <w:rPr>
          <w:rFonts w:hint="cs"/>
          <w:sz w:val="22"/>
          <w:szCs w:val="22"/>
          <w:rtl/>
          <w:lang w:bidi="he-IL"/>
        </w:rPr>
        <w:t xml:space="preserve"> </w:t>
      </w:r>
      <w:r w:rsidR="00F97B56">
        <w:rPr>
          <w:sz w:val="22"/>
          <w:szCs w:val="22"/>
          <w:lang w:bidi="he-IL"/>
        </w:rPr>
        <w:t>LED</w:t>
      </w:r>
      <w:r w:rsidR="00F97B56">
        <w:rPr>
          <w:rFonts w:hint="cs"/>
          <w:sz w:val="22"/>
          <w:szCs w:val="22"/>
          <w:rtl/>
          <w:lang w:bidi="he-IL"/>
        </w:rPr>
        <w:t xml:space="preserve"> </w:t>
      </w:r>
      <w:r w:rsidR="005B2E39" w:rsidRPr="005B2E39">
        <w:rPr>
          <w:sz w:val="22"/>
          <w:szCs w:val="22"/>
          <w:rtl/>
          <w:lang w:bidi="he-IL"/>
        </w:rPr>
        <w:t>בזנבו ובפנס החזית</w:t>
      </w:r>
      <w:r w:rsidR="00182660">
        <w:rPr>
          <w:rFonts w:hint="cs"/>
          <w:sz w:val="22"/>
          <w:szCs w:val="22"/>
          <w:rtl/>
          <w:lang w:bidi="he-IL"/>
        </w:rPr>
        <w:t xml:space="preserve"> </w:t>
      </w:r>
      <w:r w:rsidR="00182660" w:rsidRPr="00E06185">
        <w:rPr>
          <w:rFonts w:hint="cs"/>
          <w:sz w:val="22"/>
          <w:szCs w:val="22"/>
          <w:rtl/>
          <w:lang w:bidi="he-IL"/>
        </w:rPr>
        <w:t>המעוצב</w:t>
      </w:r>
      <w:r w:rsidR="00F97B56" w:rsidRPr="00E06185">
        <w:rPr>
          <w:rFonts w:hint="cs"/>
          <w:sz w:val="22"/>
          <w:szCs w:val="22"/>
          <w:rtl/>
          <w:lang w:bidi="he-IL"/>
        </w:rPr>
        <w:t xml:space="preserve"> (עם פנסי החנייה)</w:t>
      </w:r>
      <w:r w:rsidR="00182660" w:rsidRPr="00E06185">
        <w:rPr>
          <w:rFonts w:hint="cs"/>
          <w:sz w:val="22"/>
          <w:szCs w:val="22"/>
          <w:rtl/>
          <w:lang w:bidi="he-IL"/>
        </w:rPr>
        <w:t xml:space="preserve"> כפנס האגדי של משפחת אופנועי ה-</w:t>
      </w:r>
      <w:r w:rsidR="00182660" w:rsidRPr="00E06185">
        <w:rPr>
          <w:sz w:val="22"/>
          <w:szCs w:val="22"/>
          <w:lang w:bidi="he-IL"/>
        </w:rPr>
        <w:t>GSXR</w:t>
      </w:r>
      <w:r w:rsidR="005B2E39" w:rsidRPr="005B2E39">
        <w:rPr>
          <w:sz w:val="22"/>
          <w:szCs w:val="22"/>
          <w:rtl/>
          <w:lang w:bidi="he-IL"/>
        </w:rPr>
        <w:t>, במאותתים שקופים ואלגנטיים וכן מוצע ב-3 צביעות שונות למעטפת הפיירינג: שחור חלק, לבן חלק או צביעת ה</w:t>
      </w:r>
      <w:r w:rsidR="001B5168">
        <w:rPr>
          <w:rFonts w:hint="cs"/>
          <w:sz w:val="22"/>
          <w:szCs w:val="22"/>
          <w:rtl/>
          <w:lang w:bidi="he-IL"/>
        </w:rPr>
        <w:t>-</w:t>
      </w:r>
      <w:proofErr w:type="spellStart"/>
      <w:r>
        <w:rPr>
          <w:sz w:val="22"/>
          <w:szCs w:val="22"/>
          <w:lang w:bidi="he-IL"/>
        </w:rPr>
        <w:t>MotoGP</w:t>
      </w:r>
      <w:proofErr w:type="spellEnd"/>
      <w:r w:rsidR="001B5168">
        <w:rPr>
          <w:rFonts w:hint="cs"/>
          <w:sz w:val="22"/>
          <w:szCs w:val="22"/>
          <w:rtl/>
          <w:lang w:bidi="he-IL"/>
        </w:rPr>
        <w:t xml:space="preserve"> </w:t>
      </w:r>
      <w:r w:rsidR="005B2E39" w:rsidRPr="005B2E39">
        <w:rPr>
          <w:sz w:val="22"/>
          <w:szCs w:val="22"/>
          <w:rtl/>
          <w:lang w:bidi="he-IL"/>
        </w:rPr>
        <w:t>הרשמית של סוזוקי, על רקע כחול</w:t>
      </w:r>
      <w:r w:rsidR="005B2E39" w:rsidRPr="005B2E39">
        <w:rPr>
          <w:sz w:val="22"/>
          <w:szCs w:val="22"/>
          <w:lang w:bidi="he-IL"/>
        </w:rPr>
        <w:t>.</w:t>
      </w:r>
    </w:p>
    <w:p w:rsidR="005B2E39" w:rsidRPr="005B2E39" w:rsidRDefault="005B2E39" w:rsidP="005B2E39">
      <w:pPr>
        <w:bidi/>
        <w:spacing w:line="360" w:lineRule="auto"/>
        <w:ind w:firstLine="454"/>
        <w:jc w:val="both"/>
        <w:rPr>
          <w:sz w:val="22"/>
          <w:szCs w:val="22"/>
          <w:rtl/>
        </w:rPr>
      </w:pPr>
      <w:bookmarkStart w:id="0" w:name="_GoBack"/>
      <w:bookmarkEnd w:id="0"/>
    </w:p>
    <w:sectPr w:rsidR="005B2E39" w:rsidRPr="005B2E39" w:rsidSect="0059475A">
      <w:headerReference w:type="default" r:id="rId8"/>
      <w:pgSz w:w="11906" w:h="16838"/>
      <w:pgMar w:top="1440" w:right="746" w:bottom="180" w:left="900" w:header="454"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236" w:rsidRDefault="00E95236">
      <w:r>
        <w:separator/>
      </w:r>
    </w:p>
  </w:endnote>
  <w:endnote w:type="continuationSeparator" w:id="0">
    <w:p w:rsidR="00E95236" w:rsidRDefault="00E9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236" w:rsidRDefault="00E95236">
      <w:r>
        <w:separator/>
      </w:r>
    </w:p>
  </w:footnote>
  <w:footnote w:type="continuationSeparator" w:id="0">
    <w:p w:rsidR="00E95236" w:rsidRDefault="00E95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7F" w:rsidRDefault="00EB1C80" w:rsidP="009B527F">
    <w:pPr>
      <w:pStyle w:val="Header"/>
    </w:pPr>
    <w:r>
      <w:rPr>
        <w:noProof/>
        <w:lang w:bidi="he-IL"/>
      </w:rPr>
      <w:drawing>
        <wp:anchor distT="0" distB="0" distL="114300" distR="114300" simplePos="0" relativeHeight="251659264" behindDoc="1" locked="0" layoutInCell="1" allowOverlap="1">
          <wp:simplePos x="0" y="0"/>
          <wp:positionH relativeFrom="column">
            <wp:posOffset>4344670</wp:posOffset>
          </wp:positionH>
          <wp:positionV relativeFrom="paragraph">
            <wp:posOffset>-122555</wp:posOffset>
          </wp:positionV>
          <wp:extent cx="2171700" cy="762000"/>
          <wp:effectExtent l="0" t="0" r="0" b="0"/>
          <wp:wrapNone/>
          <wp:docPr id="3" name="Picture 3" descr="OFERAVNI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ERAVNIR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simplePos x="0" y="0"/>
          <wp:positionH relativeFrom="margin">
            <wp:posOffset>95250</wp:posOffset>
          </wp:positionH>
          <wp:positionV relativeFrom="margin">
            <wp:posOffset>-781050</wp:posOffset>
          </wp:positionV>
          <wp:extent cx="1135380" cy="654050"/>
          <wp:effectExtent l="0" t="0" r="0" b="0"/>
          <wp:wrapSquare wrapText="bothSides"/>
          <wp:docPr id="1" name="Picture 1" descr="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654050"/>
                  </a:xfrm>
                  <a:prstGeom prst="rect">
                    <a:avLst/>
                  </a:prstGeom>
                  <a:noFill/>
                </pic:spPr>
              </pic:pic>
            </a:graphicData>
          </a:graphic>
          <wp14:sizeRelH relativeFrom="page">
            <wp14:pctWidth>0</wp14:pctWidth>
          </wp14:sizeRelH>
          <wp14:sizeRelV relativeFrom="page">
            <wp14:pctHeight>0</wp14:pctHeight>
          </wp14:sizeRelV>
        </wp:anchor>
      </w:drawing>
    </w:r>
  </w:p>
  <w:p w:rsidR="009B527F" w:rsidRDefault="009B527F" w:rsidP="009B527F">
    <w:pPr>
      <w:pStyle w:val="Header"/>
    </w:pPr>
  </w:p>
  <w:p w:rsidR="009B527F" w:rsidRDefault="009B527F" w:rsidP="009B527F">
    <w:pPr>
      <w:pStyle w:val="Header"/>
      <w:tabs>
        <w:tab w:val="clear" w:pos="8306"/>
        <w:tab w:val="left" w:pos="415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9E5"/>
    <w:multiLevelType w:val="hybridMultilevel"/>
    <w:tmpl w:val="F7C622AE"/>
    <w:lvl w:ilvl="0" w:tplc="D84A33D2">
      <w:start w:val="1"/>
      <w:numFmt w:val="bullet"/>
      <w:lvlText w:val=""/>
      <w:lvlJc w:val="left"/>
      <w:pPr>
        <w:tabs>
          <w:tab w:val="num" w:pos="720"/>
        </w:tabs>
        <w:ind w:left="720" w:hanging="360"/>
      </w:pPr>
      <w:rPr>
        <w:rFonts w:ascii="Symbol" w:hAnsi="Symbol" w:hint="default"/>
        <w:color w:val="4F81BD"/>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ED"/>
    <w:rsid w:val="00001F7B"/>
    <w:rsid w:val="00027293"/>
    <w:rsid w:val="00033CD4"/>
    <w:rsid w:val="000343E6"/>
    <w:rsid w:val="0003586C"/>
    <w:rsid w:val="00037576"/>
    <w:rsid w:val="000469AA"/>
    <w:rsid w:val="00047F45"/>
    <w:rsid w:val="00050B8C"/>
    <w:rsid w:val="000511DA"/>
    <w:rsid w:val="00053C3A"/>
    <w:rsid w:val="0005413F"/>
    <w:rsid w:val="0005720C"/>
    <w:rsid w:val="00057275"/>
    <w:rsid w:val="00063E3F"/>
    <w:rsid w:val="0006774C"/>
    <w:rsid w:val="00071C38"/>
    <w:rsid w:val="00077FBD"/>
    <w:rsid w:val="00083460"/>
    <w:rsid w:val="00094B68"/>
    <w:rsid w:val="000A13DE"/>
    <w:rsid w:val="000A440D"/>
    <w:rsid w:val="000B3ED3"/>
    <w:rsid w:val="000C3378"/>
    <w:rsid w:val="000C74A5"/>
    <w:rsid w:val="000D1F26"/>
    <w:rsid w:val="000D22A3"/>
    <w:rsid w:val="000D49B5"/>
    <w:rsid w:val="000D557A"/>
    <w:rsid w:val="000D6DB5"/>
    <w:rsid w:val="000D7DE3"/>
    <w:rsid w:val="000E0801"/>
    <w:rsid w:val="000E3573"/>
    <w:rsid w:val="000E7B4C"/>
    <w:rsid w:val="000F7104"/>
    <w:rsid w:val="00103C50"/>
    <w:rsid w:val="00105352"/>
    <w:rsid w:val="00110B82"/>
    <w:rsid w:val="00114DD7"/>
    <w:rsid w:val="00116C2B"/>
    <w:rsid w:val="00117D28"/>
    <w:rsid w:val="0012539C"/>
    <w:rsid w:val="0013076A"/>
    <w:rsid w:val="0014575E"/>
    <w:rsid w:val="00150A29"/>
    <w:rsid w:val="00152B36"/>
    <w:rsid w:val="0016403F"/>
    <w:rsid w:val="00164127"/>
    <w:rsid w:val="00167F1F"/>
    <w:rsid w:val="00171DDE"/>
    <w:rsid w:val="00172BAB"/>
    <w:rsid w:val="00175C9F"/>
    <w:rsid w:val="00180AC3"/>
    <w:rsid w:val="00182660"/>
    <w:rsid w:val="00197B59"/>
    <w:rsid w:val="001B22A7"/>
    <w:rsid w:val="001B268C"/>
    <w:rsid w:val="001B5168"/>
    <w:rsid w:val="001B533D"/>
    <w:rsid w:val="001C443C"/>
    <w:rsid w:val="001C5519"/>
    <w:rsid w:val="001C5921"/>
    <w:rsid w:val="001C617F"/>
    <w:rsid w:val="001E39D5"/>
    <w:rsid w:val="001E6D4C"/>
    <w:rsid w:val="001E7BFB"/>
    <w:rsid w:val="001E7FCA"/>
    <w:rsid w:val="001F12D3"/>
    <w:rsid w:val="001F2961"/>
    <w:rsid w:val="001F43EF"/>
    <w:rsid w:val="001F5299"/>
    <w:rsid w:val="001F6F1B"/>
    <w:rsid w:val="00204344"/>
    <w:rsid w:val="00204B07"/>
    <w:rsid w:val="00217F6C"/>
    <w:rsid w:val="0022406D"/>
    <w:rsid w:val="00231127"/>
    <w:rsid w:val="002326FC"/>
    <w:rsid w:val="0023534B"/>
    <w:rsid w:val="00254987"/>
    <w:rsid w:val="002642D3"/>
    <w:rsid w:val="0026611E"/>
    <w:rsid w:val="002724B1"/>
    <w:rsid w:val="0027400F"/>
    <w:rsid w:val="00274CC8"/>
    <w:rsid w:val="00274FAD"/>
    <w:rsid w:val="00281975"/>
    <w:rsid w:val="00281A50"/>
    <w:rsid w:val="00283113"/>
    <w:rsid w:val="0028591C"/>
    <w:rsid w:val="00286358"/>
    <w:rsid w:val="00287F96"/>
    <w:rsid w:val="00297888"/>
    <w:rsid w:val="002A5E52"/>
    <w:rsid w:val="002B28B6"/>
    <w:rsid w:val="002B4327"/>
    <w:rsid w:val="002C3520"/>
    <w:rsid w:val="002E3F1E"/>
    <w:rsid w:val="002E71BF"/>
    <w:rsid w:val="002E7AF7"/>
    <w:rsid w:val="002F274A"/>
    <w:rsid w:val="002F56F4"/>
    <w:rsid w:val="002F5DC6"/>
    <w:rsid w:val="00303174"/>
    <w:rsid w:val="00315BB8"/>
    <w:rsid w:val="00321CC5"/>
    <w:rsid w:val="003227CF"/>
    <w:rsid w:val="00325A34"/>
    <w:rsid w:val="0033187F"/>
    <w:rsid w:val="003344D1"/>
    <w:rsid w:val="00340F43"/>
    <w:rsid w:val="003452F1"/>
    <w:rsid w:val="00346FFB"/>
    <w:rsid w:val="00350749"/>
    <w:rsid w:val="00352319"/>
    <w:rsid w:val="00360B5E"/>
    <w:rsid w:val="00361F2A"/>
    <w:rsid w:val="00367797"/>
    <w:rsid w:val="003742D4"/>
    <w:rsid w:val="00377074"/>
    <w:rsid w:val="00377ED7"/>
    <w:rsid w:val="0039386C"/>
    <w:rsid w:val="0039451D"/>
    <w:rsid w:val="00396120"/>
    <w:rsid w:val="003A6F79"/>
    <w:rsid w:val="003B4789"/>
    <w:rsid w:val="003B5C6A"/>
    <w:rsid w:val="003B732C"/>
    <w:rsid w:val="003C0708"/>
    <w:rsid w:val="003C6461"/>
    <w:rsid w:val="003E22C1"/>
    <w:rsid w:val="003E77E2"/>
    <w:rsid w:val="003F06E7"/>
    <w:rsid w:val="0040198E"/>
    <w:rsid w:val="0040223D"/>
    <w:rsid w:val="004053D2"/>
    <w:rsid w:val="00407A86"/>
    <w:rsid w:val="004124DD"/>
    <w:rsid w:val="00414CE3"/>
    <w:rsid w:val="00425098"/>
    <w:rsid w:val="00430718"/>
    <w:rsid w:val="0043116F"/>
    <w:rsid w:val="004376EB"/>
    <w:rsid w:val="00442951"/>
    <w:rsid w:val="00442F3C"/>
    <w:rsid w:val="00444214"/>
    <w:rsid w:val="004445FD"/>
    <w:rsid w:val="004449BE"/>
    <w:rsid w:val="00445ABA"/>
    <w:rsid w:val="0044745E"/>
    <w:rsid w:val="004501A9"/>
    <w:rsid w:val="004506EF"/>
    <w:rsid w:val="004521E1"/>
    <w:rsid w:val="004539AC"/>
    <w:rsid w:val="004556B5"/>
    <w:rsid w:val="0046161A"/>
    <w:rsid w:val="00477148"/>
    <w:rsid w:val="00483830"/>
    <w:rsid w:val="00490BD8"/>
    <w:rsid w:val="00496D70"/>
    <w:rsid w:val="004A131A"/>
    <w:rsid w:val="004A5CC8"/>
    <w:rsid w:val="004B6B0F"/>
    <w:rsid w:val="004B6F2F"/>
    <w:rsid w:val="004C34FC"/>
    <w:rsid w:val="004C3EB9"/>
    <w:rsid w:val="004D41D6"/>
    <w:rsid w:val="004E28C2"/>
    <w:rsid w:val="004E6089"/>
    <w:rsid w:val="004E7590"/>
    <w:rsid w:val="004F2C01"/>
    <w:rsid w:val="004F2E03"/>
    <w:rsid w:val="004F509D"/>
    <w:rsid w:val="005017C9"/>
    <w:rsid w:val="00501FBE"/>
    <w:rsid w:val="005035D9"/>
    <w:rsid w:val="00506D80"/>
    <w:rsid w:val="005233FD"/>
    <w:rsid w:val="00531542"/>
    <w:rsid w:val="005379ED"/>
    <w:rsid w:val="00541DA3"/>
    <w:rsid w:val="00543D0D"/>
    <w:rsid w:val="005442E2"/>
    <w:rsid w:val="00545742"/>
    <w:rsid w:val="0055002B"/>
    <w:rsid w:val="00555CD0"/>
    <w:rsid w:val="00556659"/>
    <w:rsid w:val="0056037C"/>
    <w:rsid w:val="00560EFD"/>
    <w:rsid w:val="00572772"/>
    <w:rsid w:val="00576BA1"/>
    <w:rsid w:val="005826C2"/>
    <w:rsid w:val="005831AF"/>
    <w:rsid w:val="0059475A"/>
    <w:rsid w:val="00597BA3"/>
    <w:rsid w:val="005A5BFA"/>
    <w:rsid w:val="005B07B5"/>
    <w:rsid w:val="005B150E"/>
    <w:rsid w:val="005B2AF6"/>
    <w:rsid w:val="005B2E39"/>
    <w:rsid w:val="005B30D7"/>
    <w:rsid w:val="005B7014"/>
    <w:rsid w:val="005D27AE"/>
    <w:rsid w:val="005D2E3D"/>
    <w:rsid w:val="005D714E"/>
    <w:rsid w:val="005E4D57"/>
    <w:rsid w:val="005F31DF"/>
    <w:rsid w:val="005F77B0"/>
    <w:rsid w:val="00600347"/>
    <w:rsid w:val="0060465A"/>
    <w:rsid w:val="0060524E"/>
    <w:rsid w:val="006100B4"/>
    <w:rsid w:val="00617546"/>
    <w:rsid w:val="006177BE"/>
    <w:rsid w:val="00625B48"/>
    <w:rsid w:val="00630C3D"/>
    <w:rsid w:val="00630E32"/>
    <w:rsid w:val="00632FD4"/>
    <w:rsid w:val="0063635C"/>
    <w:rsid w:val="006408ED"/>
    <w:rsid w:val="006442E1"/>
    <w:rsid w:val="006507C7"/>
    <w:rsid w:val="006521C9"/>
    <w:rsid w:val="006533E1"/>
    <w:rsid w:val="0066241D"/>
    <w:rsid w:val="00662D7E"/>
    <w:rsid w:val="0066772D"/>
    <w:rsid w:val="0067122C"/>
    <w:rsid w:val="0067415F"/>
    <w:rsid w:val="006767AC"/>
    <w:rsid w:val="0068037D"/>
    <w:rsid w:val="006905BC"/>
    <w:rsid w:val="006932F4"/>
    <w:rsid w:val="006A409A"/>
    <w:rsid w:val="006A5D71"/>
    <w:rsid w:val="006B03D5"/>
    <w:rsid w:val="006B6823"/>
    <w:rsid w:val="006C0ACC"/>
    <w:rsid w:val="006C3169"/>
    <w:rsid w:val="006D2AA2"/>
    <w:rsid w:val="006E57E4"/>
    <w:rsid w:val="006E73D1"/>
    <w:rsid w:val="006F4D11"/>
    <w:rsid w:val="0070110E"/>
    <w:rsid w:val="00713B2F"/>
    <w:rsid w:val="007231A3"/>
    <w:rsid w:val="007264CA"/>
    <w:rsid w:val="00727FDC"/>
    <w:rsid w:val="00730862"/>
    <w:rsid w:val="00731667"/>
    <w:rsid w:val="00732A15"/>
    <w:rsid w:val="00733BF9"/>
    <w:rsid w:val="00734E12"/>
    <w:rsid w:val="007414B7"/>
    <w:rsid w:val="00745A33"/>
    <w:rsid w:val="00747881"/>
    <w:rsid w:val="007614C7"/>
    <w:rsid w:val="00761547"/>
    <w:rsid w:val="00762EE9"/>
    <w:rsid w:val="00765B87"/>
    <w:rsid w:val="00765D28"/>
    <w:rsid w:val="00766089"/>
    <w:rsid w:val="0077005A"/>
    <w:rsid w:val="007711A2"/>
    <w:rsid w:val="007761EA"/>
    <w:rsid w:val="00777C8C"/>
    <w:rsid w:val="00782EBA"/>
    <w:rsid w:val="00790966"/>
    <w:rsid w:val="007964DB"/>
    <w:rsid w:val="007A1F47"/>
    <w:rsid w:val="007A425E"/>
    <w:rsid w:val="007B4AFA"/>
    <w:rsid w:val="007B5595"/>
    <w:rsid w:val="007C0527"/>
    <w:rsid w:val="007C6F08"/>
    <w:rsid w:val="007E0B20"/>
    <w:rsid w:val="007E184E"/>
    <w:rsid w:val="007E627F"/>
    <w:rsid w:val="007F2DC1"/>
    <w:rsid w:val="007F2F09"/>
    <w:rsid w:val="007F325D"/>
    <w:rsid w:val="007F34AE"/>
    <w:rsid w:val="007F403B"/>
    <w:rsid w:val="008176C9"/>
    <w:rsid w:val="00821A10"/>
    <w:rsid w:val="008238ED"/>
    <w:rsid w:val="00823EEC"/>
    <w:rsid w:val="00830009"/>
    <w:rsid w:val="00833A4A"/>
    <w:rsid w:val="00834C81"/>
    <w:rsid w:val="00835883"/>
    <w:rsid w:val="00840185"/>
    <w:rsid w:val="008410FA"/>
    <w:rsid w:val="00852C6A"/>
    <w:rsid w:val="00856952"/>
    <w:rsid w:val="00864680"/>
    <w:rsid w:val="00864BED"/>
    <w:rsid w:val="0087138A"/>
    <w:rsid w:val="0089149B"/>
    <w:rsid w:val="00892968"/>
    <w:rsid w:val="008938D0"/>
    <w:rsid w:val="0089500D"/>
    <w:rsid w:val="008A562D"/>
    <w:rsid w:val="008B4460"/>
    <w:rsid w:val="008C072D"/>
    <w:rsid w:val="008C09EE"/>
    <w:rsid w:val="008D15EF"/>
    <w:rsid w:val="008D6492"/>
    <w:rsid w:val="008F1685"/>
    <w:rsid w:val="008F3498"/>
    <w:rsid w:val="008F492E"/>
    <w:rsid w:val="008F6F16"/>
    <w:rsid w:val="009033C9"/>
    <w:rsid w:val="00903E73"/>
    <w:rsid w:val="009049FC"/>
    <w:rsid w:val="00912CC4"/>
    <w:rsid w:val="009175FA"/>
    <w:rsid w:val="0092086D"/>
    <w:rsid w:val="00920F02"/>
    <w:rsid w:val="00921296"/>
    <w:rsid w:val="00926485"/>
    <w:rsid w:val="009336DF"/>
    <w:rsid w:val="00934008"/>
    <w:rsid w:val="00945DFB"/>
    <w:rsid w:val="00952A53"/>
    <w:rsid w:val="009569D7"/>
    <w:rsid w:val="009625DE"/>
    <w:rsid w:val="00965E18"/>
    <w:rsid w:val="00972015"/>
    <w:rsid w:val="00986B03"/>
    <w:rsid w:val="00992AB3"/>
    <w:rsid w:val="009A71E2"/>
    <w:rsid w:val="009A79F4"/>
    <w:rsid w:val="009B2687"/>
    <w:rsid w:val="009B527F"/>
    <w:rsid w:val="009E24FC"/>
    <w:rsid w:val="009E3A20"/>
    <w:rsid w:val="009F5E85"/>
    <w:rsid w:val="009F741C"/>
    <w:rsid w:val="00A016D8"/>
    <w:rsid w:val="00A02B3D"/>
    <w:rsid w:val="00A02BFE"/>
    <w:rsid w:val="00A04136"/>
    <w:rsid w:val="00A17BFB"/>
    <w:rsid w:val="00A20276"/>
    <w:rsid w:val="00A31119"/>
    <w:rsid w:val="00A3126B"/>
    <w:rsid w:val="00A317E2"/>
    <w:rsid w:val="00A325E5"/>
    <w:rsid w:val="00A364A3"/>
    <w:rsid w:val="00A405FE"/>
    <w:rsid w:val="00A45DF8"/>
    <w:rsid w:val="00A61FF9"/>
    <w:rsid w:val="00A7156B"/>
    <w:rsid w:val="00A72688"/>
    <w:rsid w:val="00A86D2F"/>
    <w:rsid w:val="00A90227"/>
    <w:rsid w:val="00A9035D"/>
    <w:rsid w:val="00A919F1"/>
    <w:rsid w:val="00A91F2D"/>
    <w:rsid w:val="00A96361"/>
    <w:rsid w:val="00A970D9"/>
    <w:rsid w:val="00AA096C"/>
    <w:rsid w:val="00AA0B14"/>
    <w:rsid w:val="00AA2529"/>
    <w:rsid w:val="00AA2D5B"/>
    <w:rsid w:val="00AA3F3D"/>
    <w:rsid w:val="00AB1C22"/>
    <w:rsid w:val="00AB5067"/>
    <w:rsid w:val="00AB56B8"/>
    <w:rsid w:val="00AC034D"/>
    <w:rsid w:val="00AC6A8A"/>
    <w:rsid w:val="00AC72BB"/>
    <w:rsid w:val="00AD5193"/>
    <w:rsid w:val="00AE0038"/>
    <w:rsid w:val="00AE20AA"/>
    <w:rsid w:val="00AE6BE0"/>
    <w:rsid w:val="00AE6F6E"/>
    <w:rsid w:val="00AF064D"/>
    <w:rsid w:val="00AF7A09"/>
    <w:rsid w:val="00B05C37"/>
    <w:rsid w:val="00B15F7B"/>
    <w:rsid w:val="00B17A99"/>
    <w:rsid w:val="00B20C40"/>
    <w:rsid w:val="00B2655C"/>
    <w:rsid w:val="00B27402"/>
    <w:rsid w:val="00B37E92"/>
    <w:rsid w:val="00B43611"/>
    <w:rsid w:val="00B51314"/>
    <w:rsid w:val="00B57D3D"/>
    <w:rsid w:val="00B600BF"/>
    <w:rsid w:val="00B71787"/>
    <w:rsid w:val="00B72611"/>
    <w:rsid w:val="00B77F06"/>
    <w:rsid w:val="00B8675F"/>
    <w:rsid w:val="00B926CE"/>
    <w:rsid w:val="00BA004B"/>
    <w:rsid w:val="00BA5A42"/>
    <w:rsid w:val="00BB3813"/>
    <w:rsid w:val="00BD065A"/>
    <w:rsid w:val="00BD2AD1"/>
    <w:rsid w:val="00BE2A2B"/>
    <w:rsid w:val="00BE5A50"/>
    <w:rsid w:val="00BE7C9B"/>
    <w:rsid w:val="00BF08BD"/>
    <w:rsid w:val="00BF213F"/>
    <w:rsid w:val="00C040B0"/>
    <w:rsid w:val="00C05F91"/>
    <w:rsid w:val="00C06CE4"/>
    <w:rsid w:val="00C11EB0"/>
    <w:rsid w:val="00C16CF3"/>
    <w:rsid w:val="00C323DF"/>
    <w:rsid w:val="00C3700B"/>
    <w:rsid w:val="00C510D4"/>
    <w:rsid w:val="00C63C32"/>
    <w:rsid w:val="00C6481C"/>
    <w:rsid w:val="00C7130C"/>
    <w:rsid w:val="00C72B1A"/>
    <w:rsid w:val="00C9761D"/>
    <w:rsid w:val="00CB2BA9"/>
    <w:rsid w:val="00CB46A3"/>
    <w:rsid w:val="00CB48B8"/>
    <w:rsid w:val="00CC09E8"/>
    <w:rsid w:val="00CC2283"/>
    <w:rsid w:val="00CC284E"/>
    <w:rsid w:val="00CE05DD"/>
    <w:rsid w:val="00CE08DF"/>
    <w:rsid w:val="00CE57ED"/>
    <w:rsid w:val="00CE6530"/>
    <w:rsid w:val="00CE6718"/>
    <w:rsid w:val="00CF0EB8"/>
    <w:rsid w:val="00CF131B"/>
    <w:rsid w:val="00CF141E"/>
    <w:rsid w:val="00CF65A7"/>
    <w:rsid w:val="00D001CC"/>
    <w:rsid w:val="00D03A33"/>
    <w:rsid w:val="00D11933"/>
    <w:rsid w:val="00D221DA"/>
    <w:rsid w:val="00D43007"/>
    <w:rsid w:val="00D43690"/>
    <w:rsid w:val="00D51408"/>
    <w:rsid w:val="00D75C0D"/>
    <w:rsid w:val="00D905DB"/>
    <w:rsid w:val="00D91E58"/>
    <w:rsid w:val="00D971EA"/>
    <w:rsid w:val="00D97335"/>
    <w:rsid w:val="00D97E0C"/>
    <w:rsid w:val="00DA2647"/>
    <w:rsid w:val="00DA2AA9"/>
    <w:rsid w:val="00DA2F4B"/>
    <w:rsid w:val="00DA409D"/>
    <w:rsid w:val="00DA70F8"/>
    <w:rsid w:val="00DB12E4"/>
    <w:rsid w:val="00DB7798"/>
    <w:rsid w:val="00DC347A"/>
    <w:rsid w:val="00DD6907"/>
    <w:rsid w:val="00DE0F68"/>
    <w:rsid w:val="00DE68C9"/>
    <w:rsid w:val="00DF6440"/>
    <w:rsid w:val="00DF7AFE"/>
    <w:rsid w:val="00E00447"/>
    <w:rsid w:val="00E02FEF"/>
    <w:rsid w:val="00E030DB"/>
    <w:rsid w:val="00E06185"/>
    <w:rsid w:val="00E179E0"/>
    <w:rsid w:val="00E20E7B"/>
    <w:rsid w:val="00E22FAE"/>
    <w:rsid w:val="00E26A20"/>
    <w:rsid w:val="00E31108"/>
    <w:rsid w:val="00E36DCB"/>
    <w:rsid w:val="00E42B86"/>
    <w:rsid w:val="00E4667E"/>
    <w:rsid w:val="00E5261A"/>
    <w:rsid w:val="00E600B1"/>
    <w:rsid w:val="00E603ED"/>
    <w:rsid w:val="00E61049"/>
    <w:rsid w:val="00E7432B"/>
    <w:rsid w:val="00E77FA3"/>
    <w:rsid w:val="00E833B2"/>
    <w:rsid w:val="00E83941"/>
    <w:rsid w:val="00E93112"/>
    <w:rsid w:val="00E9374C"/>
    <w:rsid w:val="00E95236"/>
    <w:rsid w:val="00E9719F"/>
    <w:rsid w:val="00EA5981"/>
    <w:rsid w:val="00EA59B4"/>
    <w:rsid w:val="00EB1C80"/>
    <w:rsid w:val="00EB2D84"/>
    <w:rsid w:val="00EB3008"/>
    <w:rsid w:val="00EC547C"/>
    <w:rsid w:val="00ED22A9"/>
    <w:rsid w:val="00EE17D4"/>
    <w:rsid w:val="00EE44AB"/>
    <w:rsid w:val="00F07648"/>
    <w:rsid w:val="00F11F05"/>
    <w:rsid w:val="00F1744C"/>
    <w:rsid w:val="00F3084B"/>
    <w:rsid w:val="00F31B51"/>
    <w:rsid w:val="00F5679A"/>
    <w:rsid w:val="00F642AA"/>
    <w:rsid w:val="00F716DE"/>
    <w:rsid w:val="00F71B78"/>
    <w:rsid w:val="00F75FCC"/>
    <w:rsid w:val="00F768EF"/>
    <w:rsid w:val="00F83E3C"/>
    <w:rsid w:val="00F93641"/>
    <w:rsid w:val="00F97B56"/>
    <w:rsid w:val="00F97CA3"/>
    <w:rsid w:val="00FA2693"/>
    <w:rsid w:val="00FA4999"/>
    <w:rsid w:val="00FB3A81"/>
    <w:rsid w:val="00FB5504"/>
    <w:rsid w:val="00FD0901"/>
    <w:rsid w:val="00FD22B7"/>
    <w:rsid w:val="00FD5DDC"/>
    <w:rsid w:val="00FE1185"/>
    <w:rsid w:val="00FE1D14"/>
    <w:rsid w:val="00FF0F94"/>
    <w:rsid w:val="00FF6A8E"/>
    <w:rsid w:val="00FF76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2F6AF7-ACAC-49A9-AB66-F29BCB51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bidi="ar-SA"/>
    </w:rPr>
  </w:style>
  <w:style w:type="paragraph" w:styleId="Heading1">
    <w:name w:val="heading 1"/>
    <w:basedOn w:val="Normal"/>
    <w:next w:val="Normal"/>
    <w:qFormat/>
    <w:pPr>
      <w:keepNext/>
      <w:bidi/>
      <w:outlineLvl w:val="0"/>
    </w:pPr>
    <w:rPr>
      <w:rFonts w:ascii="Times New Roman" w:hAnsi="Times New Roman" w:cs="David"/>
      <w:b/>
      <w:bCs/>
      <w:lang w:eastAsia="he-IL" w:bidi="he-IL"/>
    </w:rPr>
  </w:style>
  <w:style w:type="paragraph" w:styleId="Heading3">
    <w:name w:val="heading 3"/>
    <w:basedOn w:val="Normal"/>
    <w:next w:val="Normal"/>
    <w:qFormat/>
    <w:rsid w:val="009336DF"/>
    <w:pPr>
      <w:keepNext/>
      <w:spacing w:before="240" w:after="60"/>
      <w:outlineLvl w:val="2"/>
    </w:pPr>
    <w:rPr>
      <w:b/>
      <w:bCs/>
      <w:sz w:val="26"/>
      <w:szCs w:val="26"/>
    </w:rPr>
  </w:style>
  <w:style w:type="paragraph" w:styleId="Heading6">
    <w:name w:val="heading 6"/>
    <w:basedOn w:val="Normal"/>
    <w:next w:val="Normal"/>
    <w:qFormat/>
    <w:rsid w:val="00BF213F"/>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E833B2"/>
    <w:rPr>
      <w:color w:val="800080"/>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jc w:val="right"/>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bidi/>
      <w:jc w:val="center"/>
    </w:pPr>
    <w:rPr>
      <w:rFonts w:ascii="Times New Roman" w:hAnsi="Times New Roman" w:cs="David"/>
      <w:b/>
      <w:bCs/>
      <w:sz w:val="32"/>
      <w:szCs w:val="32"/>
      <w:u w:val="single"/>
      <w:lang w:eastAsia="he-IL" w:bidi="he-IL"/>
    </w:rPr>
  </w:style>
  <w:style w:type="paragraph" w:styleId="NormalWeb">
    <w:name w:val="Normal (Web)"/>
    <w:basedOn w:val="Normal"/>
    <w:rsid w:val="003F06E7"/>
    <w:pPr>
      <w:spacing w:before="100" w:beforeAutospacing="1" w:after="100" w:afterAutospacing="1"/>
    </w:pPr>
    <w:rPr>
      <w:rFonts w:ascii="Times New Roman" w:hAnsi="Times New Roman" w:cs="Times New Roman"/>
      <w:lang w:bidi="he-IL"/>
    </w:rPr>
  </w:style>
  <w:style w:type="character" w:styleId="Strong">
    <w:name w:val="Strong"/>
    <w:qFormat/>
    <w:rsid w:val="00AE6BE0"/>
    <w:rPr>
      <w:b/>
      <w:bCs/>
    </w:rPr>
  </w:style>
  <w:style w:type="character" w:customStyle="1" w:styleId="emailstyle17">
    <w:name w:val="emailstyle17"/>
    <w:semiHidden/>
    <w:rsid w:val="00F75FCC"/>
    <w:rPr>
      <w:rFonts w:ascii="Arial" w:hAnsi="Arial" w:cs="Arial" w:hint="default"/>
      <w:color w:val="000080"/>
      <w:sz w:val="20"/>
      <w:szCs w:val="20"/>
    </w:rPr>
  </w:style>
  <w:style w:type="character" w:customStyle="1" w:styleId="HeaderChar">
    <w:name w:val="Header Char"/>
    <w:link w:val="Header"/>
    <w:rsid w:val="009B527F"/>
    <w:rPr>
      <w:rFonts w:ascii="Arial" w:hAnsi="Arial" w:cs="Arial"/>
      <w:sz w:val="24"/>
      <w:szCs w:val="24"/>
      <w:lang w:bidi="ar-SA"/>
    </w:rPr>
  </w:style>
  <w:style w:type="paragraph" w:styleId="ListParagraph">
    <w:name w:val="List Paragraph"/>
    <w:basedOn w:val="Normal"/>
    <w:uiPriority w:val="34"/>
    <w:qFormat/>
    <w:rsid w:val="000A4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7497">
      <w:bodyDiv w:val="1"/>
      <w:marLeft w:val="0"/>
      <w:marRight w:val="0"/>
      <w:marTop w:val="0"/>
      <w:marBottom w:val="0"/>
      <w:divBdr>
        <w:top w:val="none" w:sz="0" w:space="0" w:color="auto"/>
        <w:left w:val="none" w:sz="0" w:space="0" w:color="auto"/>
        <w:bottom w:val="none" w:sz="0" w:space="0" w:color="auto"/>
        <w:right w:val="none" w:sz="0" w:space="0" w:color="auto"/>
      </w:divBdr>
    </w:div>
    <w:div w:id="210847717">
      <w:bodyDiv w:val="1"/>
      <w:marLeft w:val="0"/>
      <w:marRight w:val="0"/>
      <w:marTop w:val="0"/>
      <w:marBottom w:val="0"/>
      <w:divBdr>
        <w:top w:val="none" w:sz="0" w:space="0" w:color="auto"/>
        <w:left w:val="none" w:sz="0" w:space="0" w:color="auto"/>
        <w:bottom w:val="none" w:sz="0" w:space="0" w:color="auto"/>
        <w:right w:val="none" w:sz="0" w:space="0" w:color="auto"/>
      </w:divBdr>
      <w:divsChild>
        <w:div w:id="520974094">
          <w:marLeft w:val="0"/>
          <w:marRight w:val="0"/>
          <w:marTop w:val="0"/>
          <w:marBottom w:val="0"/>
          <w:divBdr>
            <w:top w:val="none" w:sz="0" w:space="0" w:color="auto"/>
            <w:left w:val="none" w:sz="0" w:space="0" w:color="auto"/>
            <w:bottom w:val="none" w:sz="0" w:space="0" w:color="auto"/>
            <w:right w:val="none" w:sz="0" w:space="0" w:color="auto"/>
          </w:divBdr>
        </w:div>
        <w:div w:id="963388619">
          <w:marLeft w:val="0"/>
          <w:marRight w:val="0"/>
          <w:marTop w:val="0"/>
          <w:marBottom w:val="0"/>
          <w:divBdr>
            <w:top w:val="none" w:sz="0" w:space="0" w:color="auto"/>
            <w:left w:val="none" w:sz="0" w:space="0" w:color="auto"/>
            <w:bottom w:val="none" w:sz="0" w:space="0" w:color="auto"/>
            <w:right w:val="none" w:sz="0" w:space="0" w:color="auto"/>
          </w:divBdr>
        </w:div>
        <w:div w:id="1452280772">
          <w:marLeft w:val="0"/>
          <w:marRight w:val="0"/>
          <w:marTop w:val="0"/>
          <w:marBottom w:val="0"/>
          <w:divBdr>
            <w:top w:val="none" w:sz="0" w:space="0" w:color="auto"/>
            <w:left w:val="none" w:sz="0" w:space="0" w:color="auto"/>
            <w:bottom w:val="none" w:sz="0" w:space="0" w:color="auto"/>
            <w:right w:val="none" w:sz="0" w:space="0" w:color="auto"/>
          </w:divBdr>
        </w:div>
        <w:div w:id="1752121356">
          <w:marLeft w:val="0"/>
          <w:marRight w:val="0"/>
          <w:marTop w:val="0"/>
          <w:marBottom w:val="0"/>
          <w:divBdr>
            <w:top w:val="none" w:sz="0" w:space="0" w:color="auto"/>
            <w:left w:val="none" w:sz="0" w:space="0" w:color="auto"/>
            <w:bottom w:val="none" w:sz="0" w:space="0" w:color="auto"/>
            <w:right w:val="none" w:sz="0" w:space="0" w:color="auto"/>
          </w:divBdr>
        </w:div>
        <w:div w:id="1937981450">
          <w:marLeft w:val="0"/>
          <w:marRight w:val="0"/>
          <w:marTop w:val="0"/>
          <w:marBottom w:val="0"/>
          <w:divBdr>
            <w:top w:val="none" w:sz="0" w:space="0" w:color="auto"/>
            <w:left w:val="none" w:sz="0" w:space="0" w:color="auto"/>
            <w:bottom w:val="none" w:sz="0" w:space="0" w:color="auto"/>
            <w:right w:val="none" w:sz="0" w:space="0" w:color="auto"/>
          </w:divBdr>
        </w:div>
      </w:divsChild>
    </w:div>
    <w:div w:id="275139758">
      <w:bodyDiv w:val="1"/>
      <w:marLeft w:val="0"/>
      <w:marRight w:val="0"/>
      <w:marTop w:val="0"/>
      <w:marBottom w:val="0"/>
      <w:divBdr>
        <w:top w:val="none" w:sz="0" w:space="0" w:color="auto"/>
        <w:left w:val="none" w:sz="0" w:space="0" w:color="auto"/>
        <w:bottom w:val="none" w:sz="0" w:space="0" w:color="auto"/>
        <w:right w:val="none" w:sz="0" w:space="0" w:color="auto"/>
      </w:divBdr>
      <w:divsChild>
        <w:div w:id="883912247">
          <w:marLeft w:val="0"/>
          <w:marRight w:val="0"/>
          <w:marTop w:val="0"/>
          <w:marBottom w:val="0"/>
          <w:divBdr>
            <w:top w:val="none" w:sz="0" w:space="0" w:color="auto"/>
            <w:left w:val="none" w:sz="0" w:space="0" w:color="auto"/>
            <w:bottom w:val="none" w:sz="0" w:space="0" w:color="auto"/>
            <w:right w:val="none" w:sz="0" w:space="0" w:color="auto"/>
          </w:divBdr>
        </w:div>
        <w:div w:id="1711762236">
          <w:marLeft w:val="0"/>
          <w:marRight w:val="0"/>
          <w:marTop w:val="0"/>
          <w:marBottom w:val="0"/>
          <w:divBdr>
            <w:top w:val="none" w:sz="0" w:space="0" w:color="auto"/>
            <w:left w:val="none" w:sz="0" w:space="0" w:color="auto"/>
            <w:bottom w:val="none" w:sz="0" w:space="0" w:color="auto"/>
            <w:right w:val="none" w:sz="0" w:space="0" w:color="auto"/>
          </w:divBdr>
        </w:div>
      </w:divsChild>
    </w:div>
    <w:div w:id="538661721">
      <w:bodyDiv w:val="1"/>
      <w:marLeft w:val="0"/>
      <w:marRight w:val="0"/>
      <w:marTop w:val="0"/>
      <w:marBottom w:val="0"/>
      <w:divBdr>
        <w:top w:val="none" w:sz="0" w:space="0" w:color="auto"/>
        <w:left w:val="none" w:sz="0" w:space="0" w:color="auto"/>
        <w:bottom w:val="none" w:sz="0" w:space="0" w:color="auto"/>
        <w:right w:val="none" w:sz="0" w:space="0" w:color="auto"/>
      </w:divBdr>
      <w:divsChild>
        <w:div w:id="1607345532">
          <w:marLeft w:val="0"/>
          <w:marRight w:val="0"/>
          <w:marTop w:val="0"/>
          <w:marBottom w:val="0"/>
          <w:divBdr>
            <w:top w:val="none" w:sz="0" w:space="0" w:color="auto"/>
            <w:left w:val="none" w:sz="0" w:space="0" w:color="auto"/>
            <w:bottom w:val="none" w:sz="0" w:space="0" w:color="auto"/>
            <w:right w:val="none" w:sz="0" w:space="0" w:color="auto"/>
          </w:divBdr>
          <w:divsChild>
            <w:div w:id="736170608">
              <w:marLeft w:val="0"/>
              <w:marRight w:val="0"/>
              <w:marTop w:val="120"/>
              <w:marBottom w:val="0"/>
              <w:divBdr>
                <w:top w:val="none" w:sz="0" w:space="0" w:color="auto"/>
                <w:left w:val="none" w:sz="0" w:space="0" w:color="auto"/>
                <w:bottom w:val="none" w:sz="0" w:space="0" w:color="auto"/>
                <w:right w:val="none" w:sz="0" w:space="0" w:color="auto"/>
              </w:divBdr>
              <w:divsChild>
                <w:div w:id="52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9972">
      <w:bodyDiv w:val="1"/>
      <w:marLeft w:val="0"/>
      <w:marRight w:val="0"/>
      <w:marTop w:val="0"/>
      <w:marBottom w:val="0"/>
      <w:divBdr>
        <w:top w:val="none" w:sz="0" w:space="0" w:color="auto"/>
        <w:left w:val="none" w:sz="0" w:space="0" w:color="auto"/>
        <w:bottom w:val="none" w:sz="0" w:space="0" w:color="auto"/>
        <w:right w:val="none" w:sz="0" w:space="0" w:color="auto"/>
      </w:divBdr>
    </w:div>
    <w:div w:id="1321350348">
      <w:bodyDiv w:val="1"/>
      <w:marLeft w:val="0"/>
      <w:marRight w:val="0"/>
      <w:marTop w:val="0"/>
      <w:marBottom w:val="0"/>
      <w:divBdr>
        <w:top w:val="none" w:sz="0" w:space="0" w:color="auto"/>
        <w:left w:val="none" w:sz="0" w:space="0" w:color="auto"/>
        <w:bottom w:val="none" w:sz="0" w:space="0" w:color="auto"/>
        <w:right w:val="none" w:sz="0" w:space="0" w:color="auto"/>
      </w:divBdr>
      <w:divsChild>
        <w:div w:id="361827751">
          <w:marLeft w:val="0"/>
          <w:marRight w:val="0"/>
          <w:marTop w:val="0"/>
          <w:marBottom w:val="0"/>
          <w:divBdr>
            <w:top w:val="none" w:sz="0" w:space="0" w:color="auto"/>
            <w:left w:val="none" w:sz="0" w:space="0" w:color="auto"/>
            <w:bottom w:val="none" w:sz="0" w:space="0" w:color="auto"/>
            <w:right w:val="none" w:sz="0" w:space="0" w:color="auto"/>
          </w:divBdr>
        </w:div>
        <w:div w:id="1774202924">
          <w:marLeft w:val="0"/>
          <w:marRight w:val="0"/>
          <w:marTop w:val="0"/>
          <w:marBottom w:val="0"/>
          <w:divBdr>
            <w:top w:val="none" w:sz="0" w:space="0" w:color="auto"/>
            <w:left w:val="none" w:sz="0" w:space="0" w:color="auto"/>
            <w:bottom w:val="none" w:sz="0" w:space="0" w:color="auto"/>
            <w:right w:val="none" w:sz="0" w:space="0" w:color="auto"/>
          </w:divBdr>
        </w:div>
      </w:divsChild>
    </w:div>
    <w:div w:id="1506900360">
      <w:bodyDiv w:val="1"/>
      <w:marLeft w:val="0"/>
      <w:marRight w:val="0"/>
      <w:marTop w:val="0"/>
      <w:marBottom w:val="0"/>
      <w:divBdr>
        <w:top w:val="none" w:sz="0" w:space="0" w:color="auto"/>
        <w:left w:val="none" w:sz="0" w:space="0" w:color="auto"/>
        <w:bottom w:val="none" w:sz="0" w:space="0" w:color="auto"/>
        <w:right w:val="none" w:sz="0" w:space="0" w:color="auto"/>
      </w:divBdr>
      <w:divsChild>
        <w:div w:id="428547997">
          <w:marLeft w:val="0"/>
          <w:marRight w:val="0"/>
          <w:marTop w:val="0"/>
          <w:marBottom w:val="0"/>
          <w:divBdr>
            <w:top w:val="none" w:sz="0" w:space="0" w:color="auto"/>
            <w:left w:val="none" w:sz="0" w:space="0" w:color="auto"/>
            <w:bottom w:val="none" w:sz="0" w:space="0" w:color="auto"/>
            <w:right w:val="none" w:sz="0" w:space="0" w:color="auto"/>
          </w:divBdr>
          <w:divsChild>
            <w:div w:id="796139543">
              <w:marLeft w:val="0"/>
              <w:marRight w:val="0"/>
              <w:marTop w:val="120"/>
              <w:marBottom w:val="0"/>
              <w:divBdr>
                <w:top w:val="none" w:sz="0" w:space="0" w:color="auto"/>
                <w:left w:val="none" w:sz="0" w:space="0" w:color="auto"/>
                <w:bottom w:val="none" w:sz="0" w:space="0" w:color="auto"/>
                <w:right w:val="none" w:sz="0" w:space="0" w:color="auto"/>
              </w:divBdr>
              <w:divsChild>
                <w:div w:id="2018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1592">
      <w:bodyDiv w:val="1"/>
      <w:marLeft w:val="0"/>
      <w:marRight w:val="0"/>
      <w:marTop w:val="0"/>
      <w:marBottom w:val="0"/>
      <w:divBdr>
        <w:top w:val="none" w:sz="0" w:space="0" w:color="auto"/>
        <w:left w:val="none" w:sz="0" w:space="0" w:color="auto"/>
        <w:bottom w:val="none" w:sz="0" w:space="0" w:color="auto"/>
        <w:right w:val="none" w:sz="0" w:space="0" w:color="auto"/>
      </w:divBdr>
      <w:divsChild>
        <w:div w:id="2054964942">
          <w:marLeft w:val="0"/>
          <w:marRight w:val="0"/>
          <w:marTop w:val="0"/>
          <w:marBottom w:val="0"/>
          <w:divBdr>
            <w:top w:val="none" w:sz="0" w:space="0" w:color="auto"/>
            <w:left w:val="none" w:sz="0" w:space="0" w:color="auto"/>
            <w:bottom w:val="none" w:sz="0" w:space="0" w:color="auto"/>
            <w:right w:val="none" w:sz="0" w:space="0" w:color="auto"/>
          </w:divBdr>
          <w:divsChild>
            <w:div w:id="1581989999">
              <w:marLeft w:val="0"/>
              <w:marRight w:val="0"/>
              <w:marTop w:val="120"/>
              <w:marBottom w:val="0"/>
              <w:divBdr>
                <w:top w:val="none" w:sz="0" w:space="0" w:color="auto"/>
                <w:left w:val="none" w:sz="0" w:space="0" w:color="auto"/>
                <w:bottom w:val="none" w:sz="0" w:space="0" w:color="auto"/>
                <w:right w:val="none" w:sz="0" w:space="0" w:color="auto"/>
              </w:divBdr>
              <w:divsChild>
                <w:div w:id="141579242">
                  <w:marLeft w:val="0"/>
                  <w:marRight w:val="0"/>
                  <w:marTop w:val="0"/>
                  <w:marBottom w:val="0"/>
                  <w:divBdr>
                    <w:top w:val="none" w:sz="0" w:space="0" w:color="auto"/>
                    <w:left w:val="none" w:sz="0" w:space="0" w:color="auto"/>
                    <w:bottom w:val="none" w:sz="0" w:space="0" w:color="auto"/>
                    <w:right w:val="none" w:sz="0" w:space="0" w:color="auto"/>
                  </w:divBdr>
                </w:div>
                <w:div w:id="711731213">
                  <w:marLeft w:val="0"/>
                  <w:marRight w:val="0"/>
                  <w:marTop w:val="0"/>
                  <w:marBottom w:val="0"/>
                  <w:divBdr>
                    <w:top w:val="none" w:sz="0" w:space="0" w:color="auto"/>
                    <w:left w:val="none" w:sz="0" w:space="0" w:color="auto"/>
                    <w:bottom w:val="none" w:sz="0" w:space="0" w:color="auto"/>
                    <w:right w:val="none" w:sz="0" w:space="0" w:color="auto"/>
                  </w:divBdr>
                </w:div>
                <w:div w:id="1481726603">
                  <w:marLeft w:val="0"/>
                  <w:marRight w:val="0"/>
                  <w:marTop w:val="0"/>
                  <w:marBottom w:val="0"/>
                  <w:divBdr>
                    <w:top w:val="none" w:sz="0" w:space="0" w:color="auto"/>
                    <w:left w:val="none" w:sz="0" w:space="0" w:color="auto"/>
                    <w:bottom w:val="none" w:sz="0" w:space="0" w:color="auto"/>
                    <w:right w:val="none" w:sz="0" w:space="0" w:color="auto"/>
                  </w:divBdr>
                </w:div>
                <w:div w:id="18263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E04D5-73C0-4A3F-A37A-C981DFE3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lpstr>
    </vt:vector>
  </TitlesOfParts>
  <Company>Hewlett-Packard</Company>
  <LinksUpToDate>false</LinksUpToDate>
  <CharactersWithSpaces>4603</CharactersWithSpaces>
  <SharedDoc>false</SharedDoc>
  <HLinks>
    <vt:vector size="6" baseType="variant">
      <vt:variant>
        <vt:i4>1507444</vt:i4>
      </vt:variant>
      <vt:variant>
        <vt:i4>3</vt:i4>
      </vt:variant>
      <vt:variant>
        <vt:i4>0</vt:i4>
      </vt:variant>
      <vt:variant>
        <vt:i4>5</vt:i4>
      </vt:variant>
      <vt:variant>
        <vt:lpwstr>mailto:orly@onepr.co.il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ilanm</dc:creator>
  <cp:lastModifiedBy>Eyal Ferder</cp:lastModifiedBy>
  <cp:revision>2</cp:revision>
  <cp:lastPrinted>2006-01-11T12:12:00Z</cp:lastPrinted>
  <dcterms:created xsi:type="dcterms:W3CDTF">2017-11-01T06:50:00Z</dcterms:created>
  <dcterms:modified xsi:type="dcterms:W3CDTF">2017-11-01T06:50:00Z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1333207564</vt:i4>
  </property>
</Properties>
</file>